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33FB01" w14:textId="10DF8AF9" w:rsidR="00C506CE" w:rsidRPr="006B7804" w:rsidRDefault="003804EA" w:rsidP="00D97EBC">
      <w:pPr>
        <w:pStyle w:val="Heading1"/>
        <w:rPr>
          <w:rFonts w:ascii="Roboto" w:hAnsi="Roboto"/>
          <w:b/>
          <w:bCs/>
          <w:color w:val="0D153B"/>
        </w:rPr>
      </w:pPr>
      <w:r>
        <w:rPr>
          <w:rFonts w:ascii="Roboto" w:hAnsi="Roboto"/>
          <w:b/>
          <w:bCs/>
          <w:color w:val="0D153B"/>
        </w:rPr>
        <w:t xml:space="preserve">The </w:t>
      </w:r>
      <w:r w:rsidR="00C506CE" w:rsidRPr="006B7804">
        <w:rPr>
          <w:rFonts w:ascii="Roboto" w:hAnsi="Roboto"/>
          <w:b/>
          <w:bCs/>
          <w:color w:val="0D153B"/>
        </w:rPr>
        <w:t xml:space="preserve">Young Foundation </w:t>
      </w:r>
      <w:r>
        <w:rPr>
          <w:rFonts w:ascii="Roboto" w:hAnsi="Roboto"/>
          <w:b/>
          <w:bCs/>
          <w:color w:val="0D153B"/>
        </w:rPr>
        <w:t>a</w:t>
      </w:r>
      <w:r w:rsidR="00C506CE" w:rsidRPr="006B7804">
        <w:rPr>
          <w:rFonts w:ascii="Roboto" w:hAnsi="Roboto"/>
          <w:b/>
          <w:bCs/>
          <w:color w:val="0D153B"/>
        </w:rPr>
        <w:t>ppeals</w:t>
      </w:r>
      <w:r>
        <w:rPr>
          <w:rFonts w:ascii="Roboto" w:hAnsi="Roboto"/>
          <w:b/>
          <w:bCs/>
          <w:color w:val="0D153B"/>
        </w:rPr>
        <w:t xml:space="preserve"> p</w:t>
      </w:r>
      <w:r w:rsidR="00C506CE" w:rsidRPr="006B7804">
        <w:rPr>
          <w:rFonts w:ascii="Roboto" w:hAnsi="Roboto"/>
          <w:b/>
          <w:bCs/>
          <w:color w:val="0D153B"/>
        </w:rPr>
        <w:t xml:space="preserve">olicy </w:t>
      </w:r>
      <w:r>
        <w:rPr>
          <w:rFonts w:ascii="Roboto" w:hAnsi="Roboto"/>
          <w:b/>
          <w:bCs/>
          <w:color w:val="0D153B"/>
        </w:rPr>
        <w:t>and p</w:t>
      </w:r>
      <w:r w:rsidR="00C506CE" w:rsidRPr="006B7804">
        <w:rPr>
          <w:rFonts w:ascii="Roboto" w:hAnsi="Roboto"/>
          <w:b/>
          <w:bCs/>
          <w:color w:val="0D153B"/>
        </w:rPr>
        <w:t>rocess</w:t>
      </w:r>
    </w:p>
    <w:p w14:paraId="143AA318" w14:textId="632C0089" w:rsidR="00C506CE" w:rsidRPr="006A60B2" w:rsidRDefault="00C506CE" w:rsidP="006A60B2">
      <w:pPr>
        <w:pStyle w:val="Heading2"/>
        <w:rPr>
          <w:b/>
          <w:bCs/>
          <w:color w:val="0D153B"/>
        </w:rPr>
      </w:pPr>
      <w:r w:rsidRPr="006B7804">
        <w:rPr>
          <w:b/>
          <w:bCs/>
          <w:color w:val="0D153B"/>
        </w:rPr>
        <w:t>Introduction</w:t>
      </w:r>
    </w:p>
    <w:p w14:paraId="288F8B37" w14:textId="77777777" w:rsidR="00C506CE" w:rsidRPr="006B7804" w:rsidRDefault="00C506CE" w:rsidP="00C506CE">
      <w:pPr>
        <w:rPr>
          <w:rFonts w:ascii="Roboto" w:hAnsi="Roboto"/>
          <w:color w:val="0D153B"/>
        </w:rPr>
      </w:pPr>
      <w:r w:rsidRPr="006B7804">
        <w:rPr>
          <w:rFonts w:ascii="Roboto" w:hAnsi="Roboto"/>
          <w:color w:val="0D153B"/>
        </w:rPr>
        <w:t>This policy is for students, tutors, mentors, and approved organisations who are working towards or delivering the qualifications offered by The Young Foundation.</w:t>
      </w:r>
    </w:p>
    <w:p w14:paraId="25DC7900" w14:textId="77777777" w:rsidR="00C506CE" w:rsidRPr="006B7804" w:rsidRDefault="00C506CE" w:rsidP="00C506CE">
      <w:pPr>
        <w:rPr>
          <w:rFonts w:ascii="Roboto" w:hAnsi="Roboto"/>
          <w:color w:val="0D153B"/>
        </w:rPr>
      </w:pPr>
    </w:p>
    <w:p w14:paraId="1A956146" w14:textId="0E2E76DA" w:rsidR="00C506CE" w:rsidRPr="006B7804" w:rsidRDefault="00C506CE" w:rsidP="00C506CE">
      <w:pPr>
        <w:rPr>
          <w:rFonts w:ascii="Roboto" w:hAnsi="Roboto"/>
          <w:color w:val="0D153B"/>
        </w:rPr>
      </w:pPr>
      <w:r w:rsidRPr="006B7804">
        <w:rPr>
          <w:rFonts w:ascii="Roboto" w:hAnsi="Roboto"/>
          <w:color w:val="0D153B"/>
        </w:rPr>
        <w:t xml:space="preserve">This policy relates specifically to appeals in relation to assessment outcomes. There is a separate </w:t>
      </w:r>
      <w:r w:rsidR="002E7161">
        <w:rPr>
          <w:rFonts w:ascii="Roboto" w:hAnsi="Roboto"/>
          <w:color w:val="0D153B"/>
        </w:rPr>
        <w:t>c</w:t>
      </w:r>
      <w:r w:rsidRPr="006B7804">
        <w:rPr>
          <w:rFonts w:ascii="Roboto" w:hAnsi="Roboto"/>
          <w:color w:val="0D153B"/>
        </w:rPr>
        <w:t xml:space="preserve">omplaints </w:t>
      </w:r>
      <w:r w:rsidR="002E7161">
        <w:rPr>
          <w:rFonts w:ascii="Roboto" w:hAnsi="Roboto"/>
          <w:color w:val="0D153B"/>
        </w:rPr>
        <w:t>p</w:t>
      </w:r>
      <w:r w:rsidRPr="006B7804">
        <w:rPr>
          <w:rFonts w:ascii="Roboto" w:hAnsi="Roboto"/>
          <w:color w:val="0D153B"/>
        </w:rPr>
        <w:t xml:space="preserve">olicy </w:t>
      </w:r>
      <w:r w:rsidR="002E7161">
        <w:rPr>
          <w:rFonts w:ascii="Roboto" w:hAnsi="Roboto"/>
          <w:color w:val="0D153B"/>
        </w:rPr>
        <w:t>and</w:t>
      </w:r>
      <w:r w:rsidRPr="006B7804">
        <w:rPr>
          <w:rFonts w:ascii="Roboto" w:hAnsi="Roboto"/>
          <w:color w:val="0D153B"/>
        </w:rPr>
        <w:t xml:space="preserve"> </w:t>
      </w:r>
      <w:r w:rsidR="002E7161">
        <w:rPr>
          <w:rFonts w:ascii="Roboto" w:hAnsi="Roboto"/>
          <w:color w:val="0D153B"/>
        </w:rPr>
        <w:t>p</w:t>
      </w:r>
      <w:r w:rsidRPr="006B7804">
        <w:rPr>
          <w:rFonts w:ascii="Roboto" w:hAnsi="Roboto"/>
          <w:color w:val="0D153B"/>
        </w:rPr>
        <w:t>rocess (available on our website) for all other issues relating to course delivery.</w:t>
      </w:r>
    </w:p>
    <w:p w14:paraId="6FC18D00" w14:textId="77777777" w:rsidR="00C506CE" w:rsidRPr="006B7804" w:rsidRDefault="00C506CE" w:rsidP="00C506CE">
      <w:pPr>
        <w:pStyle w:val="Heading3"/>
        <w:rPr>
          <w:rFonts w:ascii="Roboto" w:hAnsi="Roboto"/>
          <w:color w:val="0D153B"/>
        </w:rPr>
      </w:pPr>
      <w:r w:rsidRPr="006B7804">
        <w:rPr>
          <w:rFonts w:ascii="Roboto" w:hAnsi="Roboto"/>
          <w:color w:val="0D153B"/>
        </w:rPr>
        <w:t>Appeals handling</w:t>
      </w:r>
    </w:p>
    <w:p w14:paraId="6F4B1948" w14:textId="2B055ED5" w:rsidR="00C506CE" w:rsidRPr="006B7804" w:rsidRDefault="00C506CE" w:rsidP="00C506CE">
      <w:pPr>
        <w:rPr>
          <w:rFonts w:ascii="Roboto" w:hAnsi="Roboto"/>
          <w:color w:val="0D153B"/>
        </w:rPr>
      </w:pPr>
      <w:r w:rsidRPr="006B7804">
        <w:rPr>
          <w:rFonts w:ascii="Roboto" w:hAnsi="Roboto"/>
          <w:color w:val="0D153B"/>
        </w:rPr>
        <w:t xml:space="preserve">All appeals will be referred to the </w:t>
      </w:r>
      <w:r w:rsidR="00D42A15">
        <w:rPr>
          <w:rFonts w:ascii="Roboto" w:hAnsi="Roboto"/>
          <w:color w:val="0D153B"/>
        </w:rPr>
        <w:t>l</w:t>
      </w:r>
      <w:r w:rsidRPr="006B7804">
        <w:rPr>
          <w:rFonts w:ascii="Roboto" w:hAnsi="Roboto"/>
          <w:color w:val="0D153B"/>
        </w:rPr>
        <w:t xml:space="preserve">ead </w:t>
      </w:r>
      <w:r w:rsidR="00D42A15">
        <w:rPr>
          <w:rFonts w:ascii="Roboto" w:hAnsi="Roboto"/>
          <w:color w:val="0D153B"/>
        </w:rPr>
        <w:t>a</w:t>
      </w:r>
      <w:r w:rsidRPr="006B7804">
        <w:rPr>
          <w:rFonts w:ascii="Roboto" w:hAnsi="Roboto"/>
          <w:color w:val="0D153B"/>
        </w:rPr>
        <w:t xml:space="preserve">ssessor responsible for </w:t>
      </w:r>
      <w:r w:rsidR="00745090">
        <w:rPr>
          <w:rFonts w:ascii="Roboto" w:hAnsi="Roboto"/>
          <w:color w:val="0D153B"/>
        </w:rPr>
        <w:t>I</w:t>
      </w:r>
      <w:r w:rsidRPr="006B7804">
        <w:rPr>
          <w:rFonts w:ascii="Roboto" w:hAnsi="Roboto"/>
          <w:color w:val="0D153B"/>
        </w:rPr>
        <w:t xml:space="preserve">nternal </w:t>
      </w:r>
      <w:r w:rsidR="00745090">
        <w:rPr>
          <w:rFonts w:ascii="Roboto" w:hAnsi="Roboto"/>
          <w:color w:val="0D153B"/>
        </w:rPr>
        <w:t>Q</w:t>
      </w:r>
      <w:r w:rsidRPr="006B7804">
        <w:rPr>
          <w:rFonts w:ascii="Roboto" w:hAnsi="Roboto"/>
          <w:color w:val="0D153B"/>
        </w:rPr>
        <w:t xml:space="preserve">uality </w:t>
      </w:r>
      <w:r w:rsidR="00745090">
        <w:rPr>
          <w:rFonts w:ascii="Roboto" w:hAnsi="Roboto"/>
          <w:color w:val="0D153B"/>
        </w:rPr>
        <w:t>A</w:t>
      </w:r>
      <w:r w:rsidRPr="006B7804">
        <w:rPr>
          <w:rFonts w:ascii="Roboto" w:hAnsi="Roboto"/>
          <w:color w:val="0D153B"/>
        </w:rPr>
        <w:t>ssurance</w:t>
      </w:r>
      <w:r w:rsidR="00745090">
        <w:rPr>
          <w:rFonts w:ascii="Roboto" w:hAnsi="Roboto"/>
          <w:color w:val="0D153B"/>
        </w:rPr>
        <w:t xml:space="preserve"> (IQA)</w:t>
      </w:r>
      <w:r w:rsidRPr="006B7804">
        <w:rPr>
          <w:rFonts w:ascii="Roboto" w:hAnsi="Roboto"/>
          <w:color w:val="0D153B"/>
        </w:rPr>
        <w:t>. Appeals will be reviewed on a semi-annual basis to ensure any patterns/trends or other issues are identified and processes adapted as required.</w:t>
      </w:r>
    </w:p>
    <w:p w14:paraId="2F15C8BB" w14:textId="77777777" w:rsidR="00C506CE" w:rsidRPr="006B7804" w:rsidRDefault="00C506CE" w:rsidP="00C506CE">
      <w:pPr>
        <w:rPr>
          <w:rFonts w:ascii="Roboto" w:hAnsi="Roboto"/>
          <w:color w:val="0D153B"/>
        </w:rPr>
      </w:pPr>
    </w:p>
    <w:p w14:paraId="71C28539" w14:textId="77777777" w:rsidR="00C506CE" w:rsidRPr="006B7804" w:rsidRDefault="00C506CE" w:rsidP="00C506CE">
      <w:pPr>
        <w:rPr>
          <w:rFonts w:ascii="Roboto" w:hAnsi="Roboto"/>
          <w:color w:val="0D153B"/>
        </w:rPr>
      </w:pPr>
      <w:r w:rsidRPr="006B7804">
        <w:rPr>
          <w:rFonts w:ascii="Roboto" w:hAnsi="Roboto"/>
          <w:color w:val="0D153B"/>
        </w:rPr>
        <w:t>A written record of all appeals will be kept by The Young Foundation. This will include the outcome of the appeal and the reasons for the decision. A copy will be given to the candidate.</w:t>
      </w:r>
    </w:p>
    <w:p w14:paraId="4E7DCD00" w14:textId="77777777" w:rsidR="00C506CE" w:rsidRPr="006B7804" w:rsidRDefault="00C506CE" w:rsidP="00C506CE">
      <w:pPr>
        <w:rPr>
          <w:rFonts w:ascii="Roboto" w:hAnsi="Roboto"/>
          <w:color w:val="0D153B"/>
        </w:rPr>
      </w:pPr>
    </w:p>
    <w:p w14:paraId="491BEB93" w14:textId="3046C90E" w:rsidR="00C506CE" w:rsidRPr="006B7804" w:rsidRDefault="00C506CE" w:rsidP="00C506CE">
      <w:pPr>
        <w:rPr>
          <w:rFonts w:ascii="Roboto" w:hAnsi="Roboto"/>
          <w:color w:val="0D153B"/>
        </w:rPr>
      </w:pPr>
      <w:r w:rsidRPr="006B7804">
        <w:rPr>
          <w:rFonts w:ascii="Roboto" w:hAnsi="Roboto"/>
          <w:color w:val="0D153B"/>
        </w:rPr>
        <w:t xml:space="preserve">The </w:t>
      </w:r>
      <w:r w:rsidR="00163D86">
        <w:rPr>
          <w:rFonts w:ascii="Roboto" w:hAnsi="Roboto"/>
          <w:color w:val="0D153B"/>
        </w:rPr>
        <w:t>a</w:t>
      </w:r>
      <w:r w:rsidRPr="006B7804">
        <w:rPr>
          <w:rFonts w:ascii="Roboto" w:hAnsi="Roboto"/>
          <w:color w:val="0D153B"/>
        </w:rPr>
        <w:t xml:space="preserve">warding </w:t>
      </w:r>
      <w:r w:rsidR="00163D86">
        <w:rPr>
          <w:rFonts w:ascii="Roboto" w:hAnsi="Roboto"/>
          <w:color w:val="0D153B"/>
        </w:rPr>
        <w:t>bo</w:t>
      </w:r>
      <w:r w:rsidRPr="006B7804">
        <w:rPr>
          <w:rFonts w:ascii="Roboto" w:hAnsi="Roboto"/>
          <w:color w:val="0D153B"/>
        </w:rPr>
        <w:t xml:space="preserve">dy or </w:t>
      </w:r>
      <w:r w:rsidR="00163D86">
        <w:rPr>
          <w:rFonts w:ascii="Roboto" w:hAnsi="Roboto"/>
          <w:color w:val="0D153B"/>
        </w:rPr>
        <w:t>o</w:t>
      </w:r>
      <w:r w:rsidRPr="006B7804">
        <w:rPr>
          <w:rFonts w:ascii="Roboto" w:hAnsi="Roboto"/>
          <w:color w:val="0D153B"/>
        </w:rPr>
        <w:t xml:space="preserve">rganisation of externally validated qualifications will be kept informed of all appeals. The </w:t>
      </w:r>
      <w:r w:rsidR="00E921DF">
        <w:rPr>
          <w:rFonts w:ascii="Roboto" w:hAnsi="Roboto"/>
          <w:color w:val="0D153B"/>
        </w:rPr>
        <w:t>b</w:t>
      </w:r>
      <w:r w:rsidRPr="006B7804">
        <w:rPr>
          <w:rFonts w:ascii="Roboto" w:hAnsi="Roboto"/>
          <w:color w:val="0D153B"/>
        </w:rPr>
        <w:t xml:space="preserve">ody or </w:t>
      </w:r>
      <w:r w:rsidR="00E921DF">
        <w:rPr>
          <w:rFonts w:ascii="Roboto" w:hAnsi="Roboto"/>
          <w:color w:val="0D153B"/>
        </w:rPr>
        <w:t>o</w:t>
      </w:r>
      <w:r w:rsidRPr="006B7804">
        <w:rPr>
          <w:rFonts w:ascii="Roboto" w:hAnsi="Roboto"/>
          <w:color w:val="0D153B"/>
        </w:rPr>
        <w:t>rganisation may become involved at any stage of the appeals process.</w:t>
      </w:r>
    </w:p>
    <w:p w14:paraId="4F2936CD" w14:textId="77777777" w:rsidR="00C506CE" w:rsidRPr="006B7804" w:rsidRDefault="00C506CE" w:rsidP="00C506CE">
      <w:pPr>
        <w:pStyle w:val="Heading3"/>
        <w:rPr>
          <w:rFonts w:ascii="Roboto" w:hAnsi="Roboto"/>
          <w:color w:val="0D153B"/>
        </w:rPr>
      </w:pPr>
      <w:r w:rsidRPr="006B7804">
        <w:rPr>
          <w:rFonts w:ascii="Roboto" w:hAnsi="Roboto"/>
          <w:color w:val="0D153B"/>
        </w:rPr>
        <w:t>Grounds for appeal</w:t>
      </w:r>
    </w:p>
    <w:p w14:paraId="7B282C7D" w14:textId="77777777" w:rsidR="00C506CE" w:rsidRPr="006B7804" w:rsidRDefault="00C506CE" w:rsidP="00C506CE">
      <w:pPr>
        <w:rPr>
          <w:rFonts w:ascii="Roboto" w:hAnsi="Roboto"/>
          <w:color w:val="0D153B"/>
        </w:rPr>
      </w:pPr>
      <w:r w:rsidRPr="006B7804">
        <w:rPr>
          <w:rFonts w:ascii="Roboto" w:hAnsi="Roboto"/>
          <w:color w:val="0D153B"/>
        </w:rPr>
        <w:t>A candidate may appeal an assessment decision if they have reason to believe that we have:</w:t>
      </w:r>
    </w:p>
    <w:p w14:paraId="4F3FA554" w14:textId="4C1167C9" w:rsidR="00C506CE" w:rsidRPr="004C4795" w:rsidRDefault="00C506CE" w:rsidP="00C506CE">
      <w:pPr>
        <w:pStyle w:val="ListParagraph"/>
        <w:numPr>
          <w:ilvl w:val="0"/>
          <w:numId w:val="3"/>
        </w:numPr>
        <w:rPr>
          <w:rFonts w:ascii="Roboto" w:hAnsi="Roboto"/>
          <w:color w:val="0D153B"/>
          <w:sz w:val="22"/>
          <w:szCs w:val="22"/>
        </w:rPr>
      </w:pPr>
      <w:r w:rsidRPr="004C4795">
        <w:rPr>
          <w:rFonts w:ascii="Roboto" w:hAnsi="Roboto"/>
          <w:color w:val="0D153B"/>
          <w:sz w:val="22"/>
          <w:szCs w:val="22"/>
        </w:rPr>
        <w:t>failed to correctly apply the published assessment criteria or processes</w:t>
      </w:r>
    </w:p>
    <w:p w14:paraId="57B67356" w14:textId="77777777" w:rsidR="00C506CE" w:rsidRPr="004C4795" w:rsidRDefault="00C506CE" w:rsidP="00C506CE">
      <w:pPr>
        <w:pStyle w:val="ListParagraph"/>
        <w:numPr>
          <w:ilvl w:val="0"/>
          <w:numId w:val="3"/>
        </w:numPr>
        <w:rPr>
          <w:rFonts w:ascii="Roboto" w:hAnsi="Roboto"/>
          <w:color w:val="0D153B"/>
          <w:sz w:val="22"/>
          <w:szCs w:val="22"/>
        </w:rPr>
      </w:pPr>
      <w:r w:rsidRPr="004C4795">
        <w:rPr>
          <w:rFonts w:ascii="Roboto" w:hAnsi="Roboto"/>
          <w:color w:val="0D153B"/>
          <w:sz w:val="22"/>
          <w:szCs w:val="22"/>
        </w:rPr>
        <w:t>have made an administrative error in handling the assessment</w:t>
      </w:r>
    </w:p>
    <w:p w14:paraId="0D7392B2" w14:textId="77777777" w:rsidR="00C506CE" w:rsidRPr="006B7804" w:rsidRDefault="00C506CE" w:rsidP="00C506CE">
      <w:pPr>
        <w:rPr>
          <w:rFonts w:ascii="Roboto" w:hAnsi="Roboto"/>
          <w:color w:val="0D153B"/>
        </w:rPr>
      </w:pPr>
    </w:p>
    <w:p w14:paraId="25CF7216" w14:textId="7DA61B99" w:rsidR="00C506CE" w:rsidRPr="006B7804" w:rsidRDefault="00C506CE" w:rsidP="00C506CE">
      <w:pPr>
        <w:rPr>
          <w:rFonts w:ascii="Roboto" w:hAnsi="Roboto"/>
          <w:color w:val="0D153B"/>
        </w:rPr>
      </w:pPr>
      <w:r w:rsidRPr="006B7804">
        <w:rPr>
          <w:rFonts w:ascii="Roboto" w:hAnsi="Roboto"/>
          <w:color w:val="0D153B"/>
        </w:rPr>
        <w:t xml:space="preserve">A failure to comply with the assessment procedures required by the </w:t>
      </w:r>
      <w:r w:rsidR="00D46AC1">
        <w:rPr>
          <w:rFonts w:ascii="Roboto" w:hAnsi="Roboto"/>
          <w:color w:val="0D153B"/>
        </w:rPr>
        <w:t>a</w:t>
      </w:r>
      <w:r w:rsidRPr="006B7804">
        <w:rPr>
          <w:rFonts w:ascii="Roboto" w:hAnsi="Roboto"/>
          <w:color w:val="0D153B"/>
        </w:rPr>
        <w:t xml:space="preserve">warding </w:t>
      </w:r>
      <w:r w:rsidR="00D46AC1">
        <w:rPr>
          <w:rFonts w:ascii="Roboto" w:hAnsi="Roboto"/>
          <w:color w:val="0D153B"/>
        </w:rPr>
        <w:t>b</w:t>
      </w:r>
      <w:r w:rsidRPr="006B7804">
        <w:rPr>
          <w:rFonts w:ascii="Roboto" w:hAnsi="Roboto"/>
          <w:color w:val="0D153B"/>
        </w:rPr>
        <w:t>ody can also constitute grounds for appeal.</w:t>
      </w:r>
    </w:p>
    <w:p w14:paraId="22586B0B" w14:textId="77777777" w:rsidR="00C506CE" w:rsidRPr="006B7804" w:rsidRDefault="00C506CE" w:rsidP="00C506CE">
      <w:pPr>
        <w:rPr>
          <w:rFonts w:ascii="Roboto" w:hAnsi="Roboto"/>
          <w:color w:val="0D153B"/>
        </w:rPr>
      </w:pPr>
    </w:p>
    <w:p w14:paraId="350F4F8D" w14:textId="77777777" w:rsidR="00C506CE" w:rsidRPr="006B7804" w:rsidRDefault="00C506CE" w:rsidP="00C506CE">
      <w:pPr>
        <w:rPr>
          <w:rFonts w:ascii="Roboto" w:eastAsiaTheme="majorEastAsia" w:hAnsi="Roboto" w:cstheme="majorBidi"/>
          <w:color w:val="0D153B"/>
          <w:sz w:val="32"/>
          <w:szCs w:val="26"/>
        </w:rPr>
      </w:pPr>
      <w:r w:rsidRPr="006B7804">
        <w:rPr>
          <w:rFonts w:ascii="Roboto" w:hAnsi="Roboto"/>
          <w:color w:val="0D153B"/>
        </w:rPr>
        <w:br w:type="page"/>
      </w:r>
    </w:p>
    <w:p w14:paraId="67779F33" w14:textId="2125DE9C" w:rsidR="00C506CE" w:rsidRPr="00D46AC1" w:rsidRDefault="00C506CE" w:rsidP="00D46AC1">
      <w:pPr>
        <w:pStyle w:val="Heading2"/>
        <w:rPr>
          <w:b/>
          <w:bCs/>
        </w:rPr>
      </w:pPr>
      <w:r w:rsidRPr="006B7804">
        <w:rPr>
          <w:b/>
          <w:bCs/>
        </w:rPr>
        <w:lastRenderedPageBreak/>
        <w:t>Appeals process</w:t>
      </w:r>
    </w:p>
    <w:p w14:paraId="73235C6A" w14:textId="77777777" w:rsidR="00C506CE" w:rsidRPr="006B7804" w:rsidRDefault="00C506CE" w:rsidP="00C506CE">
      <w:pPr>
        <w:rPr>
          <w:rFonts w:ascii="Roboto" w:hAnsi="Roboto"/>
          <w:color w:val="0D153B"/>
        </w:rPr>
      </w:pPr>
      <w:r w:rsidRPr="006B7804">
        <w:rPr>
          <w:rFonts w:ascii="Roboto" w:hAnsi="Roboto"/>
          <w:color w:val="0D153B"/>
        </w:rPr>
        <w:t>All candidates have the right to appeal an assessment decision. Any appeal should be made within 10 working days of the assessment outcome notification.</w:t>
      </w:r>
    </w:p>
    <w:p w14:paraId="2E9D3623" w14:textId="77777777" w:rsidR="00C506CE" w:rsidRPr="006B7804" w:rsidRDefault="00C506CE" w:rsidP="00C506CE">
      <w:pPr>
        <w:rPr>
          <w:rFonts w:ascii="Roboto" w:hAnsi="Roboto"/>
          <w:color w:val="0D153B"/>
        </w:rPr>
      </w:pPr>
    </w:p>
    <w:p w14:paraId="1008EB82" w14:textId="53E4BB43" w:rsidR="00C506CE" w:rsidRPr="006B7804" w:rsidRDefault="00C506CE" w:rsidP="00C506CE">
      <w:pPr>
        <w:rPr>
          <w:rFonts w:ascii="Roboto" w:hAnsi="Roboto"/>
          <w:color w:val="0D153B"/>
        </w:rPr>
      </w:pPr>
      <w:r w:rsidRPr="006B7804">
        <w:rPr>
          <w:rFonts w:ascii="Roboto" w:hAnsi="Roboto"/>
          <w:color w:val="0D153B"/>
        </w:rPr>
        <w:t>Before lodging an appeal, a candidate should discuss the decision with their tutor and agree the basis on which an appeal is being made.</w:t>
      </w:r>
    </w:p>
    <w:p w14:paraId="413F9C8A" w14:textId="77777777" w:rsidR="00C506CE" w:rsidRPr="006B7804" w:rsidRDefault="00C506CE" w:rsidP="00C506CE">
      <w:pPr>
        <w:pStyle w:val="Heading3"/>
        <w:rPr>
          <w:rFonts w:ascii="Roboto" w:hAnsi="Roboto"/>
          <w:color w:val="0D153B"/>
        </w:rPr>
      </w:pPr>
      <w:r w:rsidRPr="006B7804">
        <w:rPr>
          <w:rFonts w:ascii="Roboto" w:hAnsi="Roboto"/>
          <w:color w:val="0D153B"/>
        </w:rPr>
        <w:t>Stages of the appeals process</w:t>
      </w:r>
    </w:p>
    <w:p w14:paraId="041A998F" w14:textId="572250EA" w:rsidR="00C506CE" w:rsidRPr="000F2C2C" w:rsidRDefault="00C506CE" w:rsidP="000B4BFA">
      <w:pPr>
        <w:pStyle w:val="Heading4"/>
        <w:rPr>
          <w:rFonts w:ascii="Roboto" w:hAnsi="Roboto"/>
          <w:color w:val="0D153B"/>
          <w:sz w:val="22"/>
          <w:szCs w:val="22"/>
        </w:rPr>
      </w:pPr>
      <w:r w:rsidRPr="000F2C2C">
        <w:rPr>
          <w:rFonts w:ascii="Roboto" w:hAnsi="Roboto"/>
          <w:color w:val="0D153B"/>
          <w:sz w:val="22"/>
          <w:szCs w:val="22"/>
        </w:rPr>
        <w:t xml:space="preserve">Stage </w:t>
      </w:r>
      <w:r w:rsidR="00F8337D" w:rsidRPr="000F2C2C">
        <w:rPr>
          <w:rFonts w:ascii="Roboto" w:hAnsi="Roboto"/>
          <w:color w:val="0D153B"/>
          <w:sz w:val="22"/>
          <w:szCs w:val="22"/>
        </w:rPr>
        <w:t>one</w:t>
      </w:r>
      <w:r w:rsidRPr="000F2C2C">
        <w:rPr>
          <w:rFonts w:ascii="Roboto" w:hAnsi="Roboto"/>
          <w:color w:val="0D153B"/>
          <w:sz w:val="22"/>
          <w:szCs w:val="22"/>
        </w:rPr>
        <w:t xml:space="preserve"> </w:t>
      </w:r>
    </w:p>
    <w:p w14:paraId="0B81A844" w14:textId="77777777" w:rsidR="00C506CE" w:rsidRPr="004C4795" w:rsidRDefault="00C506CE" w:rsidP="00A16802">
      <w:pPr>
        <w:pStyle w:val="ListParagraph"/>
        <w:numPr>
          <w:ilvl w:val="0"/>
          <w:numId w:val="6"/>
        </w:numPr>
        <w:rPr>
          <w:rFonts w:ascii="Roboto" w:hAnsi="Roboto"/>
          <w:color w:val="0D153B"/>
          <w:sz w:val="22"/>
          <w:szCs w:val="22"/>
        </w:rPr>
      </w:pPr>
      <w:r w:rsidRPr="004C4795">
        <w:rPr>
          <w:rFonts w:ascii="Roboto" w:hAnsi="Roboto"/>
          <w:color w:val="0D153B"/>
          <w:sz w:val="22"/>
          <w:szCs w:val="22"/>
        </w:rPr>
        <w:t>The candidate submits in writing the grounds on which they are making an appeal</w:t>
      </w:r>
    </w:p>
    <w:p w14:paraId="0820FDB7" w14:textId="77777777" w:rsidR="00C506CE" w:rsidRPr="004C4795" w:rsidRDefault="00C506CE" w:rsidP="00A16802">
      <w:pPr>
        <w:pStyle w:val="ListParagraph"/>
        <w:numPr>
          <w:ilvl w:val="0"/>
          <w:numId w:val="6"/>
        </w:numPr>
        <w:rPr>
          <w:rFonts w:ascii="Roboto" w:hAnsi="Roboto"/>
          <w:color w:val="0D153B"/>
          <w:sz w:val="22"/>
          <w:szCs w:val="22"/>
        </w:rPr>
      </w:pPr>
      <w:r w:rsidRPr="004C4795">
        <w:rPr>
          <w:rFonts w:ascii="Roboto" w:hAnsi="Roboto"/>
          <w:color w:val="0D153B"/>
          <w:sz w:val="22"/>
          <w:szCs w:val="22"/>
        </w:rPr>
        <w:t>The original assessor reviews the appeal and provides a written response which will either</w:t>
      </w:r>
    </w:p>
    <w:p w14:paraId="74B2141E" w14:textId="49F890F7" w:rsidR="00C506CE" w:rsidRPr="004C4795" w:rsidRDefault="002C3603" w:rsidP="00A16802">
      <w:pPr>
        <w:pStyle w:val="ListParagraph"/>
        <w:numPr>
          <w:ilvl w:val="1"/>
          <w:numId w:val="6"/>
        </w:numPr>
        <w:rPr>
          <w:rFonts w:ascii="Roboto" w:hAnsi="Roboto"/>
          <w:color w:val="0D153B"/>
          <w:sz w:val="22"/>
          <w:szCs w:val="22"/>
        </w:rPr>
      </w:pPr>
      <w:r>
        <w:rPr>
          <w:rFonts w:ascii="Roboto" w:hAnsi="Roboto"/>
          <w:color w:val="0D153B"/>
          <w:sz w:val="22"/>
          <w:szCs w:val="22"/>
        </w:rPr>
        <w:t>e</w:t>
      </w:r>
      <w:r w:rsidR="00C506CE" w:rsidRPr="004C4795">
        <w:rPr>
          <w:rFonts w:ascii="Roboto" w:hAnsi="Roboto"/>
          <w:color w:val="0D153B"/>
          <w:sz w:val="22"/>
          <w:szCs w:val="22"/>
        </w:rPr>
        <w:t>xplain in further detail the reason for the original decision</w:t>
      </w:r>
    </w:p>
    <w:p w14:paraId="6EBABD67" w14:textId="6B89948F" w:rsidR="00C506CE" w:rsidRPr="004C4795" w:rsidRDefault="002C3603" w:rsidP="00A16802">
      <w:pPr>
        <w:pStyle w:val="ListParagraph"/>
        <w:numPr>
          <w:ilvl w:val="1"/>
          <w:numId w:val="6"/>
        </w:numPr>
        <w:rPr>
          <w:rFonts w:ascii="Roboto" w:hAnsi="Roboto"/>
          <w:color w:val="0D153B"/>
          <w:sz w:val="22"/>
          <w:szCs w:val="22"/>
        </w:rPr>
      </w:pPr>
      <w:r>
        <w:rPr>
          <w:rFonts w:ascii="Roboto" w:hAnsi="Roboto"/>
          <w:color w:val="0D153B"/>
          <w:sz w:val="22"/>
          <w:szCs w:val="22"/>
        </w:rPr>
        <w:t>r</w:t>
      </w:r>
      <w:r w:rsidR="00C506CE" w:rsidRPr="004C4795">
        <w:rPr>
          <w:rFonts w:ascii="Roboto" w:hAnsi="Roboto"/>
          <w:color w:val="0D153B"/>
          <w:sz w:val="22"/>
          <w:szCs w:val="22"/>
        </w:rPr>
        <w:t>evise the assessment outcome with a written explanation of the reasons for this</w:t>
      </w:r>
    </w:p>
    <w:p w14:paraId="0D011806" w14:textId="77777777" w:rsidR="00C506CE" w:rsidRPr="004C4795" w:rsidRDefault="00C506CE" w:rsidP="00C506CE">
      <w:pPr>
        <w:rPr>
          <w:rFonts w:ascii="Roboto" w:hAnsi="Roboto"/>
          <w:color w:val="0D153B"/>
        </w:rPr>
      </w:pPr>
    </w:p>
    <w:p w14:paraId="7E035E8A" w14:textId="7B32A8CD" w:rsidR="00C506CE" w:rsidRPr="004C4795" w:rsidRDefault="00C506CE" w:rsidP="00C506CE">
      <w:pPr>
        <w:rPr>
          <w:rFonts w:ascii="Roboto" w:hAnsi="Roboto"/>
          <w:color w:val="0D153B"/>
        </w:rPr>
      </w:pPr>
      <w:r w:rsidRPr="004C4795">
        <w:rPr>
          <w:rFonts w:ascii="Roboto" w:hAnsi="Roboto"/>
          <w:color w:val="0D153B"/>
        </w:rPr>
        <w:t xml:space="preserve">If the candidate agrees with the outcome of </w:t>
      </w:r>
      <w:r w:rsidR="002C3603">
        <w:rPr>
          <w:rFonts w:ascii="Roboto" w:hAnsi="Roboto"/>
          <w:color w:val="0D153B"/>
        </w:rPr>
        <w:t>s</w:t>
      </w:r>
      <w:r w:rsidRPr="004C4795">
        <w:rPr>
          <w:rFonts w:ascii="Roboto" w:hAnsi="Roboto"/>
          <w:color w:val="0D153B"/>
        </w:rPr>
        <w:t>tage</w:t>
      </w:r>
      <w:r w:rsidR="00F8337D">
        <w:rPr>
          <w:rFonts w:ascii="Roboto" w:hAnsi="Roboto"/>
          <w:color w:val="0D153B"/>
        </w:rPr>
        <w:t xml:space="preserve"> one</w:t>
      </w:r>
      <w:r w:rsidRPr="004C4795">
        <w:rPr>
          <w:rFonts w:ascii="Roboto" w:hAnsi="Roboto"/>
          <w:color w:val="0D153B"/>
        </w:rPr>
        <w:t>, the appeal is closed.</w:t>
      </w:r>
    </w:p>
    <w:p w14:paraId="055FD721" w14:textId="64B7BE2C" w:rsidR="00C506CE" w:rsidRPr="004C4795" w:rsidRDefault="00C506CE" w:rsidP="00C506CE">
      <w:pPr>
        <w:rPr>
          <w:rFonts w:ascii="Roboto" w:hAnsi="Roboto"/>
          <w:color w:val="0D153B"/>
        </w:rPr>
      </w:pPr>
      <w:r w:rsidRPr="004C4795">
        <w:rPr>
          <w:rFonts w:ascii="Roboto" w:hAnsi="Roboto"/>
          <w:color w:val="0D153B"/>
        </w:rPr>
        <w:t xml:space="preserve">If the candidate remains dissatisfied, the appeal moves to </w:t>
      </w:r>
      <w:r w:rsidR="002C3603">
        <w:rPr>
          <w:rFonts w:ascii="Roboto" w:hAnsi="Roboto"/>
          <w:color w:val="0D153B"/>
        </w:rPr>
        <w:t>s</w:t>
      </w:r>
      <w:r w:rsidRPr="004C4795">
        <w:rPr>
          <w:rFonts w:ascii="Roboto" w:hAnsi="Roboto"/>
          <w:color w:val="0D153B"/>
        </w:rPr>
        <w:t xml:space="preserve">tage </w:t>
      </w:r>
      <w:r w:rsidR="00F8337D">
        <w:rPr>
          <w:rFonts w:ascii="Roboto" w:hAnsi="Roboto"/>
          <w:color w:val="0D153B"/>
        </w:rPr>
        <w:t>two</w:t>
      </w:r>
      <w:r w:rsidRPr="004C4795">
        <w:rPr>
          <w:rFonts w:ascii="Roboto" w:hAnsi="Roboto"/>
          <w:color w:val="0D153B"/>
        </w:rPr>
        <w:t>.</w:t>
      </w:r>
    </w:p>
    <w:p w14:paraId="48CCB680" w14:textId="7FFF3187" w:rsidR="00C506CE" w:rsidRPr="004C4795" w:rsidRDefault="00C506CE" w:rsidP="00C506CE">
      <w:pPr>
        <w:pStyle w:val="Heading4"/>
        <w:rPr>
          <w:rFonts w:ascii="Roboto" w:hAnsi="Roboto"/>
          <w:color w:val="0D153B"/>
          <w:sz w:val="22"/>
          <w:szCs w:val="22"/>
        </w:rPr>
      </w:pPr>
      <w:r w:rsidRPr="004C4795">
        <w:rPr>
          <w:rFonts w:ascii="Roboto" w:hAnsi="Roboto"/>
          <w:color w:val="0D153B"/>
          <w:sz w:val="22"/>
          <w:szCs w:val="22"/>
        </w:rPr>
        <w:t xml:space="preserve">Stage </w:t>
      </w:r>
      <w:r w:rsidR="00F8337D">
        <w:rPr>
          <w:rFonts w:ascii="Roboto" w:hAnsi="Roboto"/>
          <w:color w:val="0D153B"/>
          <w:sz w:val="22"/>
          <w:szCs w:val="22"/>
        </w:rPr>
        <w:t>two</w:t>
      </w:r>
      <w:r w:rsidRPr="004C4795">
        <w:rPr>
          <w:rFonts w:ascii="Roboto" w:hAnsi="Roboto"/>
          <w:color w:val="0D153B"/>
          <w:sz w:val="22"/>
          <w:szCs w:val="22"/>
        </w:rPr>
        <w:t xml:space="preserve"> </w:t>
      </w:r>
    </w:p>
    <w:p w14:paraId="7082181A" w14:textId="6AF0E96F" w:rsidR="00C506CE" w:rsidRPr="004C4795" w:rsidRDefault="00C506CE" w:rsidP="00C506CE">
      <w:pPr>
        <w:rPr>
          <w:rFonts w:ascii="Roboto" w:hAnsi="Roboto"/>
          <w:color w:val="0D153B"/>
        </w:rPr>
      </w:pPr>
      <w:r w:rsidRPr="004C4795">
        <w:rPr>
          <w:rFonts w:ascii="Roboto" w:hAnsi="Roboto"/>
          <w:color w:val="0D153B"/>
        </w:rPr>
        <w:t xml:space="preserve">A </w:t>
      </w:r>
      <w:r w:rsidR="00F5759F">
        <w:rPr>
          <w:rFonts w:ascii="Roboto" w:hAnsi="Roboto"/>
          <w:color w:val="0D153B"/>
        </w:rPr>
        <w:t>s</w:t>
      </w:r>
      <w:r w:rsidRPr="004C4795">
        <w:rPr>
          <w:rFonts w:ascii="Roboto" w:hAnsi="Roboto"/>
          <w:color w:val="0D153B"/>
        </w:rPr>
        <w:t xml:space="preserve">tage </w:t>
      </w:r>
      <w:r w:rsidR="00F8337D">
        <w:rPr>
          <w:rFonts w:ascii="Roboto" w:hAnsi="Roboto"/>
          <w:color w:val="0D153B"/>
        </w:rPr>
        <w:t>two</w:t>
      </w:r>
      <w:r w:rsidRPr="004C4795">
        <w:rPr>
          <w:rFonts w:ascii="Roboto" w:hAnsi="Roboto"/>
          <w:color w:val="0D153B"/>
        </w:rPr>
        <w:t xml:space="preserve"> appeal must be made within </w:t>
      </w:r>
      <w:r w:rsidR="00F8337D">
        <w:rPr>
          <w:rFonts w:ascii="Roboto" w:hAnsi="Roboto"/>
          <w:color w:val="0D153B"/>
        </w:rPr>
        <w:t>five</w:t>
      </w:r>
      <w:r w:rsidRPr="004C4795">
        <w:rPr>
          <w:rFonts w:ascii="Roboto" w:hAnsi="Roboto"/>
          <w:color w:val="0D153B"/>
        </w:rPr>
        <w:t xml:space="preserve"> working days of receiving the outcome notification from </w:t>
      </w:r>
      <w:r w:rsidR="00A37EC2">
        <w:rPr>
          <w:rFonts w:ascii="Roboto" w:hAnsi="Roboto"/>
          <w:color w:val="0D153B"/>
        </w:rPr>
        <w:t>s</w:t>
      </w:r>
      <w:r w:rsidRPr="004C4795">
        <w:rPr>
          <w:rFonts w:ascii="Roboto" w:hAnsi="Roboto"/>
          <w:color w:val="0D153B"/>
        </w:rPr>
        <w:t xml:space="preserve">tage </w:t>
      </w:r>
      <w:r w:rsidR="00F8337D">
        <w:rPr>
          <w:rFonts w:ascii="Roboto" w:hAnsi="Roboto"/>
          <w:color w:val="0D153B"/>
        </w:rPr>
        <w:t>one</w:t>
      </w:r>
      <w:r w:rsidRPr="004C4795">
        <w:rPr>
          <w:rFonts w:ascii="Roboto" w:hAnsi="Roboto"/>
          <w:color w:val="0D153B"/>
        </w:rPr>
        <w:t>.</w:t>
      </w:r>
    </w:p>
    <w:p w14:paraId="49E381D9" w14:textId="77777777" w:rsidR="00C506CE" w:rsidRPr="004C4795" w:rsidRDefault="00C506CE" w:rsidP="00C506CE">
      <w:pPr>
        <w:rPr>
          <w:rFonts w:ascii="Roboto" w:hAnsi="Roboto"/>
          <w:color w:val="0D153B"/>
        </w:rPr>
      </w:pPr>
    </w:p>
    <w:p w14:paraId="37F94AF5" w14:textId="03DADFBF" w:rsidR="00C506CE" w:rsidRPr="004C4795" w:rsidRDefault="00C506CE" w:rsidP="00A16802">
      <w:pPr>
        <w:pStyle w:val="ListParagraph"/>
        <w:numPr>
          <w:ilvl w:val="0"/>
          <w:numId w:val="7"/>
        </w:numPr>
        <w:rPr>
          <w:rFonts w:ascii="Roboto" w:hAnsi="Roboto"/>
          <w:color w:val="0D153B"/>
          <w:sz w:val="22"/>
          <w:szCs w:val="22"/>
        </w:rPr>
      </w:pPr>
      <w:r w:rsidRPr="004C4795">
        <w:rPr>
          <w:rFonts w:ascii="Roboto" w:hAnsi="Roboto"/>
          <w:color w:val="0D153B"/>
          <w:sz w:val="22"/>
          <w:szCs w:val="22"/>
        </w:rPr>
        <w:t>The candidate submits in writing the appeals form (</w:t>
      </w:r>
      <w:r w:rsidR="00A37EC2">
        <w:rPr>
          <w:rFonts w:ascii="Roboto" w:hAnsi="Roboto"/>
          <w:color w:val="0D153B"/>
          <w:sz w:val="22"/>
          <w:szCs w:val="22"/>
        </w:rPr>
        <w:t>a</w:t>
      </w:r>
      <w:r w:rsidRPr="004C4795">
        <w:rPr>
          <w:rFonts w:ascii="Roboto" w:hAnsi="Roboto"/>
          <w:color w:val="0D153B"/>
          <w:sz w:val="22"/>
          <w:szCs w:val="22"/>
        </w:rPr>
        <w:t>ppendix 1) and required supporting materials</w:t>
      </w:r>
    </w:p>
    <w:p w14:paraId="0B02C49F" w14:textId="776BCDFF" w:rsidR="00C506CE" w:rsidRPr="00561729" w:rsidRDefault="00C506CE" w:rsidP="00561729">
      <w:pPr>
        <w:pStyle w:val="ListParagraph"/>
        <w:numPr>
          <w:ilvl w:val="0"/>
          <w:numId w:val="7"/>
        </w:numPr>
        <w:rPr>
          <w:rFonts w:ascii="Roboto" w:hAnsi="Roboto"/>
          <w:color w:val="0D153B"/>
          <w:sz w:val="22"/>
          <w:szCs w:val="22"/>
        </w:rPr>
      </w:pPr>
      <w:r w:rsidRPr="004C4795">
        <w:rPr>
          <w:rFonts w:ascii="Roboto" w:hAnsi="Roboto"/>
          <w:color w:val="0D153B"/>
          <w:sz w:val="22"/>
          <w:szCs w:val="22"/>
        </w:rPr>
        <w:t>The appeal is referred to the IQA</w:t>
      </w:r>
      <w:r w:rsidR="00745090">
        <w:rPr>
          <w:rFonts w:ascii="Roboto" w:hAnsi="Roboto"/>
          <w:color w:val="0D153B"/>
          <w:sz w:val="22"/>
          <w:szCs w:val="22"/>
        </w:rPr>
        <w:t xml:space="preserve"> p</w:t>
      </w:r>
      <w:r w:rsidRPr="004C4795">
        <w:rPr>
          <w:rFonts w:ascii="Roboto" w:hAnsi="Roboto"/>
          <w:color w:val="0D153B"/>
          <w:sz w:val="22"/>
          <w:szCs w:val="22"/>
        </w:rPr>
        <w:t xml:space="preserve">anel for </w:t>
      </w:r>
      <w:r w:rsidRPr="00561729">
        <w:rPr>
          <w:rFonts w:ascii="Roboto" w:hAnsi="Roboto"/>
          <w:color w:val="0D153B"/>
          <w:sz w:val="22"/>
          <w:szCs w:val="22"/>
        </w:rPr>
        <w:t>review</w:t>
      </w:r>
      <w:r w:rsidR="00561729" w:rsidRPr="00561729">
        <w:rPr>
          <w:rFonts w:ascii="Roboto" w:hAnsi="Roboto"/>
          <w:color w:val="0D153B"/>
          <w:sz w:val="22"/>
          <w:szCs w:val="22"/>
        </w:rPr>
        <w:t xml:space="preserve">; </w:t>
      </w:r>
      <w:r w:rsidR="00745090" w:rsidRPr="00561729">
        <w:rPr>
          <w:rFonts w:ascii="Roboto" w:hAnsi="Roboto"/>
          <w:color w:val="0D153B"/>
          <w:sz w:val="22"/>
          <w:szCs w:val="22"/>
        </w:rPr>
        <w:t>t</w:t>
      </w:r>
      <w:r w:rsidRPr="00561729">
        <w:rPr>
          <w:rFonts w:ascii="Roboto" w:hAnsi="Roboto"/>
          <w:color w:val="0D153B"/>
          <w:sz w:val="22"/>
          <w:szCs w:val="22"/>
        </w:rPr>
        <w:t xml:space="preserve">he candidate will receive confirmation of the referral within </w:t>
      </w:r>
      <w:r w:rsidR="00F15A61" w:rsidRPr="00561729">
        <w:rPr>
          <w:rFonts w:ascii="Roboto" w:hAnsi="Roboto"/>
          <w:color w:val="0D153B"/>
          <w:sz w:val="22"/>
          <w:szCs w:val="22"/>
        </w:rPr>
        <w:t xml:space="preserve">five </w:t>
      </w:r>
      <w:r w:rsidRPr="00561729">
        <w:rPr>
          <w:rFonts w:ascii="Roboto" w:hAnsi="Roboto"/>
          <w:color w:val="0D153B"/>
          <w:sz w:val="22"/>
          <w:szCs w:val="22"/>
        </w:rPr>
        <w:t>working days</w:t>
      </w:r>
    </w:p>
    <w:p w14:paraId="043DAF67" w14:textId="46B7B400" w:rsidR="00C506CE" w:rsidRPr="004C4795" w:rsidRDefault="00C506CE" w:rsidP="00A16802">
      <w:pPr>
        <w:pStyle w:val="ListParagraph"/>
        <w:numPr>
          <w:ilvl w:val="0"/>
          <w:numId w:val="7"/>
        </w:numPr>
        <w:rPr>
          <w:rFonts w:ascii="Roboto" w:hAnsi="Roboto"/>
          <w:color w:val="0D153B"/>
          <w:sz w:val="22"/>
          <w:szCs w:val="22"/>
        </w:rPr>
      </w:pPr>
      <w:r w:rsidRPr="004C4795">
        <w:rPr>
          <w:rFonts w:ascii="Roboto" w:hAnsi="Roboto"/>
          <w:color w:val="0D153B"/>
          <w:sz w:val="22"/>
          <w:szCs w:val="22"/>
        </w:rPr>
        <w:t xml:space="preserve">The IQA </w:t>
      </w:r>
      <w:r w:rsidR="00745090">
        <w:rPr>
          <w:rFonts w:ascii="Roboto" w:hAnsi="Roboto"/>
          <w:color w:val="0D153B"/>
          <w:sz w:val="22"/>
          <w:szCs w:val="22"/>
        </w:rPr>
        <w:t>p</w:t>
      </w:r>
      <w:r w:rsidRPr="004C4795">
        <w:rPr>
          <w:rFonts w:ascii="Roboto" w:hAnsi="Roboto"/>
          <w:color w:val="0D153B"/>
          <w:sz w:val="22"/>
          <w:szCs w:val="22"/>
        </w:rPr>
        <w:t>anel will review the appeal within 20 working days of receipt</w:t>
      </w:r>
    </w:p>
    <w:p w14:paraId="4D7EB944" w14:textId="7906B92B" w:rsidR="00C506CE" w:rsidRPr="004C4795" w:rsidRDefault="00FC0B44" w:rsidP="00A16802">
      <w:pPr>
        <w:pStyle w:val="ListParagraph"/>
        <w:numPr>
          <w:ilvl w:val="1"/>
          <w:numId w:val="7"/>
        </w:numPr>
        <w:rPr>
          <w:rFonts w:ascii="Roboto" w:hAnsi="Roboto"/>
          <w:color w:val="0D153B"/>
          <w:sz w:val="22"/>
          <w:szCs w:val="22"/>
        </w:rPr>
      </w:pPr>
      <w:r>
        <w:rPr>
          <w:rFonts w:ascii="Roboto" w:hAnsi="Roboto"/>
          <w:color w:val="0D153B"/>
          <w:sz w:val="22"/>
          <w:szCs w:val="22"/>
        </w:rPr>
        <w:t>t</w:t>
      </w:r>
      <w:r w:rsidR="00C506CE" w:rsidRPr="004C4795">
        <w:rPr>
          <w:rFonts w:ascii="Roboto" w:hAnsi="Roboto"/>
          <w:color w:val="0D153B"/>
          <w:sz w:val="22"/>
          <w:szCs w:val="22"/>
        </w:rPr>
        <w:t xml:space="preserve">he IQA </w:t>
      </w:r>
      <w:r w:rsidR="00F8337D">
        <w:rPr>
          <w:rFonts w:ascii="Roboto" w:hAnsi="Roboto"/>
          <w:color w:val="0D153B"/>
          <w:sz w:val="22"/>
          <w:szCs w:val="22"/>
        </w:rPr>
        <w:t>p</w:t>
      </w:r>
      <w:r w:rsidR="00C506CE" w:rsidRPr="004C4795">
        <w:rPr>
          <w:rFonts w:ascii="Roboto" w:hAnsi="Roboto"/>
          <w:color w:val="0D153B"/>
          <w:sz w:val="22"/>
          <w:szCs w:val="22"/>
        </w:rPr>
        <w:t>anel does not re-mark or re-assess submissions</w:t>
      </w:r>
    </w:p>
    <w:p w14:paraId="11963E0C" w14:textId="44372E06" w:rsidR="00C506CE" w:rsidRPr="004C4795" w:rsidRDefault="00FC0B44" w:rsidP="00A16802">
      <w:pPr>
        <w:pStyle w:val="ListParagraph"/>
        <w:numPr>
          <w:ilvl w:val="1"/>
          <w:numId w:val="7"/>
        </w:numPr>
        <w:rPr>
          <w:rFonts w:ascii="Roboto" w:hAnsi="Roboto"/>
          <w:color w:val="0D153B"/>
          <w:sz w:val="22"/>
          <w:szCs w:val="22"/>
        </w:rPr>
      </w:pPr>
      <w:r>
        <w:rPr>
          <w:rFonts w:ascii="Roboto" w:hAnsi="Roboto"/>
          <w:color w:val="0D153B"/>
          <w:sz w:val="22"/>
          <w:szCs w:val="22"/>
        </w:rPr>
        <w:t>t</w:t>
      </w:r>
      <w:r w:rsidR="00C506CE" w:rsidRPr="004C4795">
        <w:rPr>
          <w:rFonts w:ascii="Roboto" w:hAnsi="Roboto"/>
          <w:color w:val="0D153B"/>
          <w:sz w:val="22"/>
          <w:szCs w:val="22"/>
        </w:rPr>
        <w:t xml:space="preserve">he IQA </w:t>
      </w:r>
      <w:r w:rsidR="00F8337D">
        <w:rPr>
          <w:rFonts w:ascii="Roboto" w:hAnsi="Roboto"/>
          <w:color w:val="0D153B"/>
          <w:sz w:val="22"/>
          <w:szCs w:val="22"/>
        </w:rPr>
        <w:t>p</w:t>
      </w:r>
      <w:r w:rsidR="00C506CE" w:rsidRPr="004C4795">
        <w:rPr>
          <w:rFonts w:ascii="Roboto" w:hAnsi="Roboto"/>
          <w:color w:val="0D153B"/>
          <w:sz w:val="22"/>
          <w:szCs w:val="22"/>
        </w:rPr>
        <w:t xml:space="preserve">anel will scrutinise the following information in order to reach a decision: the assessor’s original report and subsequent clarification from </w:t>
      </w:r>
      <w:r>
        <w:rPr>
          <w:rFonts w:ascii="Roboto" w:hAnsi="Roboto"/>
          <w:color w:val="0D153B"/>
          <w:sz w:val="22"/>
          <w:szCs w:val="22"/>
        </w:rPr>
        <w:t>s</w:t>
      </w:r>
      <w:r w:rsidR="00C506CE" w:rsidRPr="004C4795">
        <w:rPr>
          <w:rFonts w:ascii="Roboto" w:hAnsi="Roboto"/>
          <w:color w:val="0D153B"/>
          <w:sz w:val="22"/>
          <w:szCs w:val="22"/>
        </w:rPr>
        <w:t xml:space="preserve">tage </w:t>
      </w:r>
      <w:r>
        <w:rPr>
          <w:rFonts w:ascii="Roboto" w:hAnsi="Roboto"/>
          <w:color w:val="0D153B"/>
          <w:sz w:val="22"/>
          <w:szCs w:val="22"/>
        </w:rPr>
        <w:t>one</w:t>
      </w:r>
      <w:r w:rsidR="00C506CE" w:rsidRPr="004C4795">
        <w:rPr>
          <w:rFonts w:ascii="Roboto" w:hAnsi="Roboto"/>
          <w:color w:val="0D153B"/>
          <w:sz w:val="22"/>
          <w:szCs w:val="22"/>
        </w:rPr>
        <w:t>; the candidate’s appeals form; any other relevant evidence submitted by the candidate</w:t>
      </w:r>
    </w:p>
    <w:p w14:paraId="4BD70BC1" w14:textId="48DF7AB5" w:rsidR="00C506CE" w:rsidRPr="004C4795" w:rsidRDefault="00C506CE" w:rsidP="00A16802">
      <w:pPr>
        <w:pStyle w:val="ListParagraph"/>
        <w:numPr>
          <w:ilvl w:val="0"/>
          <w:numId w:val="7"/>
        </w:numPr>
        <w:rPr>
          <w:rFonts w:ascii="Roboto" w:hAnsi="Roboto"/>
          <w:color w:val="0D153B"/>
          <w:sz w:val="22"/>
          <w:szCs w:val="22"/>
        </w:rPr>
      </w:pPr>
      <w:r w:rsidRPr="004C4795">
        <w:rPr>
          <w:rFonts w:ascii="Roboto" w:hAnsi="Roboto"/>
          <w:color w:val="0D153B"/>
          <w:sz w:val="22"/>
          <w:szCs w:val="22"/>
        </w:rPr>
        <w:t xml:space="preserve">The IQA </w:t>
      </w:r>
      <w:r w:rsidR="00FC0B44">
        <w:rPr>
          <w:rFonts w:ascii="Roboto" w:hAnsi="Roboto"/>
          <w:color w:val="0D153B"/>
          <w:sz w:val="22"/>
          <w:szCs w:val="22"/>
        </w:rPr>
        <w:t>p</w:t>
      </w:r>
      <w:r w:rsidRPr="004C4795">
        <w:rPr>
          <w:rFonts w:ascii="Roboto" w:hAnsi="Roboto"/>
          <w:color w:val="0D153B"/>
          <w:sz w:val="22"/>
          <w:szCs w:val="22"/>
        </w:rPr>
        <w:t xml:space="preserve">anel will reach a decision and communicate this to the candidate within </w:t>
      </w:r>
      <w:r w:rsidR="00FC0B44">
        <w:rPr>
          <w:rFonts w:ascii="Roboto" w:hAnsi="Roboto"/>
          <w:color w:val="0D153B"/>
          <w:sz w:val="22"/>
          <w:szCs w:val="22"/>
        </w:rPr>
        <w:t>three</w:t>
      </w:r>
      <w:r w:rsidRPr="004C4795">
        <w:rPr>
          <w:rFonts w:ascii="Roboto" w:hAnsi="Roboto"/>
          <w:color w:val="0D153B"/>
          <w:sz w:val="22"/>
          <w:szCs w:val="22"/>
        </w:rPr>
        <w:t xml:space="preserve"> working days of the </w:t>
      </w:r>
      <w:r w:rsidR="00FC0B44">
        <w:rPr>
          <w:rFonts w:ascii="Roboto" w:hAnsi="Roboto"/>
          <w:color w:val="0D153B"/>
          <w:sz w:val="22"/>
          <w:szCs w:val="22"/>
        </w:rPr>
        <w:t>p</w:t>
      </w:r>
      <w:r w:rsidRPr="004C4795">
        <w:rPr>
          <w:rFonts w:ascii="Roboto" w:hAnsi="Roboto"/>
          <w:color w:val="0D153B"/>
          <w:sz w:val="22"/>
          <w:szCs w:val="22"/>
        </w:rPr>
        <w:t>anel meeting. Decisions can be either:</w:t>
      </w:r>
    </w:p>
    <w:p w14:paraId="13EACA33" w14:textId="22B1D1AF" w:rsidR="00C506CE" w:rsidRPr="004C4795" w:rsidRDefault="00FC0B44" w:rsidP="00A16802">
      <w:pPr>
        <w:pStyle w:val="ListParagraph"/>
        <w:numPr>
          <w:ilvl w:val="1"/>
          <w:numId w:val="7"/>
        </w:numPr>
        <w:rPr>
          <w:rFonts w:ascii="Roboto" w:hAnsi="Roboto"/>
          <w:color w:val="0D153B"/>
          <w:sz w:val="22"/>
          <w:szCs w:val="22"/>
        </w:rPr>
      </w:pPr>
      <w:r>
        <w:rPr>
          <w:rFonts w:ascii="Roboto" w:hAnsi="Roboto"/>
          <w:color w:val="0D153B"/>
          <w:sz w:val="22"/>
          <w:szCs w:val="22"/>
        </w:rPr>
        <w:t>u</w:t>
      </w:r>
      <w:r w:rsidR="00C506CE" w:rsidRPr="004C4795">
        <w:rPr>
          <w:rFonts w:ascii="Roboto" w:hAnsi="Roboto"/>
          <w:color w:val="0D153B"/>
          <w:sz w:val="22"/>
          <w:szCs w:val="22"/>
        </w:rPr>
        <w:t>phold original assessment decision</w:t>
      </w:r>
    </w:p>
    <w:p w14:paraId="315BCD43" w14:textId="38137F4D" w:rsidR="00C506CE" w:rsidRPr="004C4795" w:rsidRDefault="00FC0B44" w:rsidP="00A16802">
      <w:pPr>
        <w:pStyle w:val="ListParagraph"/>
        <w:numPr>
          <w:ilvl w:val="1"/>
          <w:numId w:val="7"/>
        </w:numPr>
        <w:rPr>
          <w:rFonts w:ascii="Roboto" w:hAnsi="Roboto"/>
          <w:color w:val="0D153B"/>
          <w:sz w:val="22"/>
          <w:szCs w:val="22"/>
        </w:rPr>
      </w:pPr>
      <w:r>
        <w:rPr>
          <w:rFonts w:ascii="Roboto" w:hAnsi="Roboto"/>
          <w:color w:val="0D153B"/>
          <w:sz w:val="22"/>
          <w:szCs w:val="22"/>
        </w:rPr>
        <w:t>i</w:t>
      </w:r>
      <w:r w:rsidR="00C506CE" w:rsidRPr="004C4795">
        <w:rPr>
          <w:rFonts w:ascii="Roboto" w:hAnsi="Roboto"/>
          <w:color w:val="0D153B"/>
          <w:sz w:val="22"/>
          <w:szCs w:val="22"/>
        </w:rPr>
        <w:t>nvite candidate to resubmit free of charge</w:t>
      </w:r>
    </w:p>
    <w:p w14:paraId="4F9BA28F" w14:textId="0BB5B8F3" w:rsidR="00C506CE" w:rsidRDefault="00FC0B44" w:rsidP="00A16802">
      <w:pPr>
        <w:pStyle w:val="ListParagraph"/>
        <w:numPr>
          <w:ilvl w:val="1"/>
          <w:numId w:val="7"/>
        </w:numPr>
        <w:rPr>
          <w:rFonts w:ascii="Roboto" w:hAnsi="Roboto"/>
          <w:color w:val="0D153B"/>
          <w:sz w:val="22"/>
          <w:szCs w:val="22"/>
        </w:rPr>
      </w:pPr>
      <w:r>
        <w:rPr>
          <w:rFonts w:ascii="Roboto" w:hAnsi="Roboto"/>
          <w:color w:val="0D153B"/>
          <w:sz w:val="22"/>
          <w:szCs w:val="22"/>
        </w:rPr>
        <w:t>a</w:t>
      </w:r>
      <w:r w:rsidR="00C506CE" w:rsidRPr="004C4795">
        <w:rPr>
          <w:rFonts w:ascii="Roboto" w:hAnsi="Roboto"/>
          <w:color w:val="0D153B"/>
          <w:sz w:val="22"/>
          <w:szCs w:val="22"/>
        </w:rPr>
        <w:t>mend assessment decision</w:t>
      </w:r>
    </w:p>
    <w:p w14:paraId="55850377" w14:textId="77777777" w:rsidR="00520DC9" w:rsidRPr="004C4795" w:rsidRDefault="00520DC9" w:rsidP="00520DC9">
      <w:pPr>
        <w:pStyle w:val="ListParagraph"/>
        <w:ind w:left="1440"/>
        <w:rPr>
          <w:rFonts w:ascii="Roboto" w:hAnsi="Roboto"/>
          <w:color w:val="0D153B"/>
          <w:sz w:val="22"/>
          <w:szCs w:val="22"/>
        </w:rPr>
      </w:pPr>
    </w:p>
    <w:p w14:paraId="20B829BC" w14:textId="0296345D" w:rsidR="00C506CE" w:rsidRPr="004C4795" w:rsidRDefault="00C506CE" w:rsidP="00C506CE">
      <w:pPr>
        <w:rPr>
          <w:rFonts w:ascii="Roboto" w:hAnsi="Roboto"/>
          <w:color w:val="0D153B"/>
        </w:rPr>
      </w:pPr>
      <w:r w:rsidRPr="004C4795">
        <w:rPr>
          <w:rFonts w:ascii="Roboto" w:hAnsi="Roboto"/>
          <w:color w:val="0D153B"/>
        </w:rPr>
        <w:t xml:space="preserve">If the candidate agrees with the outcome of </w:t>
      </w:r>
      <w:r w:rsidR="00520DC9">
        <w:rPr>
          <w:rFonts w:ascii="Roboto" w:hAnsi="Roboto"/>
          <w:color w:val="0D153B"/>
        </w:rPr>
        <w:t>s</w:t>
      </w:r>
      <w:r w:rsidRPr="004C4795">
        <w:rPr>
          <w:rFonts w:ascii="Roboto" w:hAnsi="Roboto"/>
          <w:color w:val="0D153B"/>
        </w:rPr>
        <w:t xml:space="preserve">tage </w:t>
      </w:r>
      <w:r w:rsidR="00520DC9">
        <w:rPr>
          <w:rFonts w:ascii="Roboto" w:hAnsi="Roboto"/>
          <w:color w:val="0D153B"/>
        </w:rPr>
        <w:t>two</w:t>
      </w:r>
      <w:r w:rsidRPr="004C4795">
        <w:rPr>
          <w:rFonts w:ascii="Roboto" w:hAnsi="Roboto"/>
          <w:color w:val="0D153B"/>
        </w:rPr>
        <w:t>, the appeal is closed.</w:t>
      </w:r>
    </w:p>
    <w:p w14:paraId="48370EE3" w14:textId="7AD04068" w:rsidR="00C506CE" w:rsidRPr="004C4795" w:rsidRDefault="00C506CE" w:rsidP="00C506CE">
      <w:pPr>
        <w:rPr>
          <w:rFonts w:ascii="Roboto" w:hAnsi="Roboto"/>
          <w:color w:val="0D153B"/>
        </w:rPr>
      </w:pPr>
      <w:r w:rsidRPr="004C4795">
        <w:rPr>
          <w:rFonts w:ascii="Roboto" w:hAnsi="Roboto"/>
          <w:color w:val="0D153B"/>
        </w:rPr>
        <w:t xml:space="preserve">If the candidate remains dissatisfied, the appeal moves to </w:t>
      </w:r>
      <w:r w:rsidR="00520DC9">
        <w:rPr>
          <w:rFonts w:ascii="Roboto" w:hAnsi="Roboto"/>
          <w:color w:val="0D153B"/>
        </w:rPr>
        <w:t>s</w:t>
      </w:r>
      <w:r w:rsidRPr="004C4795">
        <w:rPr>
          <w:rFonts w:ascii="Roboto" w:hAnsi="Roboto"/>
          <w:color w:val="0D153B"/>
        </w:rPr>
        <w:t xml:space="preserve">tage </w:t>
      </w:r>
      <w:r w:rsidR="00520DC9">
        <w:rPr>
          <w:rFonts w:ascii="Roboto" w:hAnsi="Roboto"/>
          <w:color w:val="0D153B"/>
        </w:rPr>
        <w:t>three</w:t>
      </w:r>
      <w:r w:rsidRPr="004C4795">
        <w:rPr>
          <w:rFonts w:ascii="Roboto" w:hAnsi="Roboto"/>
          <w:color w:val="0D153B"/>
        </w:rPr>
        <w:t>.</w:t>
      </w:r>
    </w:p>
    <w:p w14:paraId="0342EA0B" w14:textId="730F9033" w:rsidR="00C506CE" w:rsidRPr="004C4795" w:rsidRDefault="00C506CE" w:rsidP="00C506CE">
      <w:pPr>
        <w:pStyle w:val="Heading4"/>
        <w:rPr>
          <w:rFonts w:ascii="Roboto" w:hAnsi="Roboto"/>
          <w:color w:val="0D153B"/>
          <w:sz w:val="22"/>
          <w:szCs w:val="22"/>
        </w:rPr>
      </w:pPr>
      <w:r w:rsidRPr="004C4795">
        <w:rPr>
          <w:rFonts w:ascii="Roboto" w:hAnsi="Roboto"/>
          <w:color w:val="0D153B"/>
          <w:sz w:val="22"/>
          <w:szCs w:val="22"/>
        </w:rPr>
        <w:lastRenderedPageBreak/>
        <w:t xml:space="preserve">Stage </w:t>
      </w:r>
      <w:r w:rsidR="00953837">
        <w:rPr>
          <w:rFonts w:ascii="Roboto" w:hAnsi="Roboto"/>
          <w:color w:val="0D153B"/>
          <w:sz w:val="22"/>
          <w:szCs w:val="22"/>
        </w:rPr>
        <w:t>three</w:t>
      </w:r>
      <w:r w:rsidRPr="004C4795">
        <w:rPr>
          <w:rFonts w:ascii="Roboto" w:hAnsi="Roboto"/>
          <w:color w:val="0D153B"/>
          <w:sz w:val="22"/>
          <w:szCs w:val="22"/>
        </w:rPr>
        <w:t xml:space="preserve"> </w:t>
      </w:r>
    </w:p>
    <w:p w14:paraId="391957BA" w14:textId="183C6AE2" w:rsidR="00C506CE" w:rsidRPr="004C4795" w:rsidRDefault="00C506CE" w:rsidP="00C506CE">
      <w:pPr>
        <w:rPr>
          <w:rFonts w:ascii="Roboto" w:eastAsiaTheme="majorEastAsia" w:hAnsi="Roboto" w:cstheme="majorBidi"/>
          <w:color w:val="0D153B"/>
        </w:rPr>
      </w:pPr>
      <w:r w:rsidRPr="004C4795">
        <w:rPr>
          <w:rFonts w:ascii="Roboto" w:hAnsi="Roboto"/>
          <w:color w:val="0D153B"/>
        </w:rPr>
        <w:t xml:space="preserve">A </w:t>
      </w:r>
      <w:r w:rsidR="00953837">
        <w:rPr>
          <w:rFonts w:ascii="Roboto" w:hAnsi="Roboto"/>
          <w:color w:val="0D153B"/>
        </w:rPr>
        <w:t>s</w:t>
      </w:r>
      <w:r w:rsidRPr="004C4795">
        <w:rPr>
          <w:rFonts w:ascii="Roboto" w:hAnsi="Roboto"/>
          <w:color w:val="0D153B"/>
        </w:rPr>
        <w:t xml:space="preserve">tage </w:t>
      </w:r>
      <w:r w:rsidR="00953837">
        <w:rPr>
          <w:rFonts w:ascii="Roboto" w:hAnsi="Roboto"/>
          <w:color w:val="0D153B"/>
        </w:rPr>
        <w:t>three</w:t>
      </w:r>
      <w:r w:rsidRPr="004C4795">
        <w:rPr>
          <w:rFonts w:ascii="Roboto" w:hAnsi="Roboto"/>
          <w:color w:val="0D153B"/>
        </w:rPr>
        <w:t xml:space="preserve"> appeal can be made to the </w:t>
      </w:r>
      <w:r w:rsidR="00953837">
        <w:rPr>
          <w:rFonts w:ascii="Roboto" w:hAnsi="Roboto"/>
          <w:color w:val="0D153B"/>
        </w:rPr>
        <w:t>a</w:t>
      </w:r>
      <w:r w:rsidRPr="004C4795">
        <w:rPr>
          <w:rFonts w:ascii="Roboto" w:hAnsi="Roboto"/>
          <w:color w:val="0D153B"/>
        </w:rPr>
        <w:t xml:space="preserve">warding </w:t>
      </w:r>
      <w:r w:rsidR="00953837">
        <w:rPr>
          <w:rFonts w:ascii="Roboto" w:hAnsi="Roboto"/>
          <w:color w:val="0D153B"/>
        </w:rPr>
        <w:t>b</w:t>
      </w:r>
      <w:r w:rsidRPr="004C4795">
        <w:rPr>
          <w:rFonts w:ascii="Roboto" w:hAnsi="Roboto"/>
          <w:color w:val="0D153B"/>
        </w:rPr>
        <w:t xml:space="preserve">ody or </w:t>
      </w:r>
      <w:r w:rsidR="00953837">
        <w:rPr>
          <w:rFonts w:ascii="Roboto" w:hAnsi="Roboto"/>
          <w:color w:val="0D153B"/>
        </w:rPr>
        <w:t>o</w:t>
      </w:r>
      <w:r w:rsidRPr="004C4795">
        <w:rPr>
          <w:rFonts w:ascii="Roboto" w:hAnsi="Roboto"/>
          <w:color w:val="0D153B"/>
        </w:rPr>
        <w:t xml:space="preserve">rganisation who will follow their own appeals policy and procedures. Stage </w:t>
      </w:r>
      <w:r w:rsidR="00953837">
        <w:rPr>
          <w:rFonts w:ascii="Roboto" w:hAnsi="Roboto"/>
          <w:color w:val="0D153B"/>
        </w:rPr>
        <w:t>three</w:t>
      </w:r>
      <w:r w:rsidRPr="004C4795">
        <w:rPr>
          <w:rFonts w:ascii="Roboto" w:hAnsi="Roboto"/>
          <w:color w:val="0D153B"/>
        </w:rPr>
        <w:t xml:space="preserve"> appeals must be made within </w:t>
      </w:r>
      <w:r w:rsidR="00953837">
        <w:rPr>
          <w:rFonts w:ascii="Roboto" w:hAnsi="Roboto"/>
          <w:color w:val="0D153B"/>
        </w:rPr>
        <w:t>five</w:t>
      </w:r>
      <w:r w:rsidRPr="004C4795">
        <w:rPr>
          <w:rFonts w:ascii="Roboto" w:hAnsi="Roboto"/>
          <w:color w:val="0D153B"/>
        </w:rPr>
        <w:t xml:space="preserve"> working days of receiving notification of the outcome of </w:t>
      </w:r>
      <w:r w:rsidR="00953837">
        <w:rPr>
          <w:rFonts w:ascii="Roboto" w:hAnsi="Roboto"/>
          <w:color w:val="0D153B"/>
        </w:rPr>
        <w:t>s</w:t>
      </w:r>
      <w:r w:rsidRPr="004C4795">
        <w:rPr>
          <w:rFonts w:ascii="Roboto" w:hAnsi="Roboto"/>
          <w:color w:val="0D153B"/>
        </w:rPr>
        <w:t xml:space="preserve">tage </w:t>
      </w:r>
      <w:r w:rsidR="00953837">
        <w:rPr>
          <w:rFonts w:ascii="Roboto" w:hAnsi="Roboto"/>
          <w:color w:val="0D153B"/>
        </w:rPr>
        <w:t>two</w:t>
      </w:r>
      <w:r w:rsidRPr="004C4795">
        <w:rPr>
          <w:rFonts w:ascii="Roboto" w:hAnsi="Roboto"/>
          <w:color w:val="0D153B"/>
        </w:rPr>
        <w:t>.</w:t>
      </w:r>
      <w:r w:rsidRPr="004C4795">
        <w:rPr>
          <w:rFonts w:ascii="Roboto" w:hAnsi="Roboto"/>
          <w:color w:val="0D153B"/>
        </w:rPr>
        <w:br w:type="page"/>
      </w:r>
    </w:p>
    <w:p w14:paraId="1C47491A" w14:textId="77777777" w:rsidR="00C506CE" w:rsidRPr="00953837" w:rsidRDefault="00C506CE" w:rsidP="003804EA">
      <w:pPr>
        <w:pStyle w:val="Heading1"/>
        <w:rPr>
          <w:rFonts w:ascii="Roboto" w:hAnsi="Roboto"/>
          <w:b/>
          <w:bCs/>
        </w:rPr>
      </w:pPr>
      <w:r w:rsidRPr="00953837">
        <w:rPr>
          <w:rFonts w:ascii="Roboto" w:hAnsi="Roboto"/>
          <w:b/>
          <w:bCs/>
        </w:rPr>
        <w:lastRenderedPageBreak/>
        <w:t>The Young Foundation: Stage 2 appeals form</w:t>
      </w:r>
    </w:p>
    <w:p w14:paraId="75CC1C58" w14:textId="77777777" w:rsidR="00C506CE" w:rsidRPr="006B7804" w:rsidRDefault="00C506CE" w:rsidP="00C506CE">
      <w:pPr>
        <w:rPr>
          <w:rFonts w:ascii="Roboto" w:hAnsi="Roboto"/>
          <w:color w:val="0D153B"/>
        </w:rPr>
      </w:pPr>
    </w:p>
    <w:p w14:paraId="32685B20" w14:textId="2CA210F1" w:rsidR="00C506CE" w:rsidRPr="006B7804" w:rsidRDefault="00C506CE" w:rsidP="00C506CE">
      <w:pPr>
        <w:rPr>
          <w:rFonts w:ascii="Roboto" w:hAnsi="Roboto"/>
          <w:color w:val="0D153B"/>
        </w:rPr>
      </w:pPr>
      <w:r w:rsidRPr="006B7804">
        <w:rPr>
          <w:rFonts w:ascii="Roboto" w:hAnsi="Roboto"/>
          <w:color w:val="0D153B"/>
        </w:rPr>
        <w:t xml:space="preserve">You must complete this form to submit a Stage 2 appeal. Forms should be submitted to </w:t>
      </w:r>
      <w:hyperlink r:id="rId7" w:history="1">
        <w:r w:rsidRPr="006B7804">
          <w:rPr>
            <w:rStyle w:val="Hyperlink"/>
            <w:rFonts w:ascii="Roboto" w:hAnsi="Roboto"/>
            <w:color w:val="0D153B"/>
          </w:rPr>
          <w:t>research@youngfoundation.org</w:t>
        </w:r>
      </w:hyperlink>
      <w:r w:rsidRPr="006B7804">
        <w:rPr>
          <w:rFonts w:ascii="Roboto" w:hAnsi="Roboto"/>
          <w:color w:val="0D153B"/>
        </w:rPr>
        <w:t xml:space="preserve"> with </w:t>
      </w:r>
      <w:r w:rsidR="003858BA">
        <w:rPr>
          <w:rFonts w:ascii="Roboto" w:hAnsi="Roboto"/>
          <w:color w:val="0D153B"/>
        </w:rPr>
        <w:t>‘</w:t>
      </w:r>
      <w:r w:rsidRPr="006B7804">
        <w:rPr>
          <w:rFonts w:ascii="Roboto" w:hAnsi="Roboto"/>
          <w:color w:val="0D153B"/>
        </w:rPr>
        <w:t>Stage 2 appeal</w:t>
      </w:r>
      <w:r w:rsidR="003858BA">
        <w:rPr>
          <w:rFonts w:ascii="Roboto" w:hAnsi="Roboto"/>
          <w:color w:val="0D153B"/>
        </w:rPr>
        <w:t>’</w:t>
      </w:r>
      <w:r w:rsidRPr="006B7804">
        <w:rPr>
          <w:rFonts w:ascii="Roboto" w:hAnsi="Roboto"/>
          <w:color w:val="0D153B"/>
        </w:rPr>
        <w:t xml:space="preserve"> as the subject line.</w:t>
      </w:r>
    </w:p>
    <w:p w14:paraId="687C978A" w14:textId="77777777" w:rsidR="00C506CE" w:rsidRPr="00D97EBC" w:rsidRDefault="00C506CE" w:rsidP="00C506CE">
      <w:pPr>
        <w:rPr>
          <w:rFonts w:ascii="Roboto" w:hAnsi="Roboto"/>
        </w:rPr>
      </w:pPr>
    </w:p>
    <w:tbl>
      <w:tblPr>
        <w:tblStyle w:val="YFTableDarkBlue"/>
        <w:tblW w:w="0" w:type="auto"/>
        <w:tblLook w:val="04A0" w:firstRow="1" w:lastRow="0" w:firstColumn="1" w:lastColumn="0" w:noHBand="0" w:noVBand="1"/>
      </w:tblPr>
      <w:tblGrid>
        <w:gridCol w:w="3681"/>
        <w:gridCol w:w="6049"/>
      </w:tblGrid>
      <w:tr w:rsidR="00C506CE" w:rsidRPr="00D97EBC" w14:paraId="269DCBA9" w14:textId="77777777" w:rsidTr="002A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ECE7CD3" w14:textId="77777777" w:rsidR="00C506CE" w:rsidRPr="00953837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953837">
              <w:rPr>
                <w:rFonts w:ascii="Roboto" w:hAnsi="Roboto"/>
                <w:color w:val="FFFFFF" w:themeColor="background1"/>
                <w:sz w:val="22"/>
                <w:szCs w:val="22"/>
              </w:rPr>
              <w:t>Candidate name</w:t>
            </w:r>
          </w:p>
        </w:tc>
        <w:tc>
          <w:tcPr>
            <w:tcW w:w="6049" w:type="dxa"/>
          </w:tcPr>
          <w:p w14:paraId="22976F83" w14:textId="77777777" w:rsidR="00C506CE" w:rsidRPr="00953837" w:rsidRDefault="00C506CE" w:rsidP="002A10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C506CE" w:rsidRPr="00D97EBC" w14:paraId="332A9C3F" w14:textId="77777777" w:rsidTr="002A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E9AC86C" w14:textId="77777777" w:rsidR="00C506CE" w:rsidRPr="00953837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953837">
              <w:rPr>
                <w:rFonts w:ascii="Roboto" w:hAnsi="Roboto"/>
                <w:color w:val="FFFFFF" w:themeColor="background1"/>
                <w:sz w:val="22"/>
                <w:szCs w:val="22"/>
              </w:rPr>
              <w:t>Candidate number</w:t>
            </w:r>
          </w:p>
        </w:tc>
        <w:tc>
          <w:tcPr>
            <w:tcW w:w="6049" w:type="dxa"/>
          </w:tcPr>
          <w:p w14:paraId="63078949" w14:textId="77777777" w:rsidR="00C506CE" w:rsidRPr="00953837" w:rsidRDefault="00C506CE" w:rsidP="002A1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00C506CE" w:rsidRPr="00D97EBC" w14:paraId="461BCB46" w14:textId="77777777" w:rsidTr="002A1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4B8F7DB" w14:textId="77777777" w:rsidR="00C506CE" w:rsidRPr="00953837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953837">
              <w:rPr>
                <w:rFonts w:ascii="Roboto" w:hAnsi="Roboto"/>
                <w:color w:val="FFFFFF" w:themeColor="background1"/>
                <w:sz w:val="22"/>
                <w:szCs w:val="22"/>
              </w:rPr>
              <w:t>Delivery organisation</w:t>
            </w:r>
          </w:p>
        </w:tc>
        <w:tc>
          <w:tcPr>
            <w:tcW w:w="6049" w:type="dxa"/>
          </w:tcPr>
          <w:p w14:paraId="47092D4D" w14:textId="77777777" w:rsidR="00C506CE" w:rsidRPr="00953837" w:rsidRDefault="00C506CE" w:rsidP="002A1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00C506CE" w:rsidRPr="00D97EBC" w14:paraId="3C32E2CC" w14:textId="77777777" w:rsidTr="002A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3521047" w14:textId="77777777" w:rsidR="00C506CE" w:rsidRPr="00953837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953837">
              <w:rPr>
                <w:rFonts w:ascii="Roboto" w:hAnsi="Roboto"/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6049" w:type="dxa"/>
          </w:tcPr>
          <w:p w14:paraId="6E473115" w14:textId="77777777" w:rsidR="00C506CE" w:rsidRPr="00953837" w:rsidRDefault="00C506CE" w:rsidP="002A1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00C506CE" w:rsidRPr="00D97EBC" w14:paraId="1EECC043" w14:textId="77777777" w:rsidTr="002A1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73382CE" w14:textId="77777777" w:rsidR="00C506CE" w:rsidRPr="00953837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953837">
              <w:rPr>
                <w:rFonts w:ascii="Roboto" w:hAnsi="Roboto"/>
                <w:color w:val="FFFFFF" w:themeColor="background1"/>
                <w:sz w:val="22"/>
                <w:szCs w:val="22"/>
              </w:rPr>
              <w:t>Contact number</w:t>
            </w:r>
          </w:p>
        </w:tc>
        <w:tc>
          <w:tcPr>
            <w:tcW w:w="6049" w:type="dxa"/>
          </w:tcPr>
          <w:p w14:paraId="5E2DD261" w14:textId="77777777" w:rsidR="00C506CE" w:rsidRPr="00953837" w:rsidRDefault="00C506CE" w:rsidP="002A1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00C506CE" w:rsidRPr="00D97EBC" w14:paraId="3BD070F9" w14:textId="77777777" w:rsidTr="002A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B9888D4" w14:textId="77777777" w:rsidR="00C506CE" w:rsidRPr="00953837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953837">
              <w:rPr>
                <w:rFonts w:ascii="Roboto" w:hAnsi="Roboto"/>
                <w:color w:val="FFFFFF" w:themeColor="background1"/>
                <w:sz w:val="22"/>
                <w:szCs w:val="22"/>
              </w:rPr>
              <w:t>Name of qualification</w:t>
            </w:r>
          </w:p>
        </w:tc>
        <w:tc>
          <w:tcPr>
            <w:tcW w:w="6049" w:type="dxa"/>
          </w:tcPr>
          <w:p w14:paraId="25C61997" w14:textId="77777777" w:rsidR="00C506CE" w:rsidRPr="00953837" w:rsidRDefault="00C506CE" w:rsidP="002A1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00C506CE" w:rsidRPr="00D97EBC" w14:paraId="7100A6F1" w14:textId="77777777" w:rsidTr="002A1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68AE65C" w14:textId="77777777" w:rsidR="00C506CE" w:rsidRPr="00953837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953837">
              <w:rPr>
                <w:rFonts w:ascii="Roboto" w:hAnsi="Roboto"/>
                <w:color w:val="FFFFFF" w:themeColor="background1"/>
                <w:sz w:val="22"/>
                <w:szCs w:val="22"/>
              </w:rPr>
              <w:t>Date of assessment</w:t>
            </w:r>
          </w:p>
        </w:tc>
        <w:tc>
          <w:tcPr>
            <w:tcW w:w="6049" w:type="dxa"/>
          </w:tcPr>
          <w:p w14:paraId="59B43275" w14:textId="77777777" w:rsidR="00C506CE" w:rsidRPr="00953837" w:rsidRDefault="00C506CE" w:rsidP="002A1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00C506CE" w:rsidRPr="00D97EBC" w14:paraId="5832D12C" w14:textId="77777777" w:rsidTr="002A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1114FBB" w14:textId="77777777" w:rsidR="00C506CE" w:rsidRPr="00953837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953837">
              <w:rPr>
                <w:rFonts w:ascii="Roboto" w:hAnsi="Roboto"/>
                <w:color w:val="FFFFFF" w:themeColor="background1"/>
                <w:sz w:val="22"/>
                <w:szCs w:val="22"/>
              </w:rPr>
              <w:t>Name of original assessor</w:t>
            </w:r>
          </w:p>
        </w:tc>
        <w:tc>
          <w:tcPr>
            <w:tcW w:w="6049" w:type="dxa"/>
          </w:tcPr>
          <w:p w14:paraId="502C8D3A" w14:textId="77777777" w:rsidR="00C506CE" w:rsidRPr="00953837" w:rsidRDefault="00C506CE" w:rsidP="002A1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06D99A77" w14:textId="77777777" w:rsidR="00C506CE" w:rsidRPr="00D97EBC" w:rsidRDefault="00C506CE" w:rsidP="00C506CE">
      <w:pPr>
        <w:rPr>
          <w:rFonts w:ascii="Roboto" w:hAnsi="Roboto"/>
        </w:rPr>
      </w:pPr>
    </w:p>
    <w:tbl>
      <w:tblPr>
        <w:tblStyle w:val="YFTableDarkBlue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506CE" w:rsidRPr="00D97EBC" w14:paraId="155B556B" w14:textId="77777777" w:rsidTr="002A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</w:tcPr>
          <w:p w14:paraId="65078B0A" w14:textId="77777777" w:rsidR="00C506CE" w:rsidRPr="00D97EBC" w:rsidRDefault="00C506CE" w:rsidP="002A10E5">
            <w:pPr>
              <w:rPr>
                <w:rFonts w:ascii="Roboto" w:hAnsi="Roboto"/>
                <w:b w:val="0"/>
                <w:color w:val="FFFFFF" w:themeColor="background1"/>
              </w:rPr>
            </w:pPr>
            <w:r w:rsidRPr="00D97EBC">
              <w:rPr>
                <w:rFonts w:ascii="Roboto" w:hAnsi="Roboto"/>
                <w:color w:val="FFFFFF" w:themeColor="background1"/>
              </w:rPr>
              <w:t>Please provide full details of the reason for your appeal</w:t>
            </w:r>
          </w:p>
          <w:p w14:paraId="6D6DE73B" w14:textId="77777777" w:rsidR="00C506CE" w:rsidRPr="00953837" w:rsidRDefault="00C506CE" w:rsidP="002A10E5">
            <w:pPr>
              <w:rPr>
                <w:rFonts w:ascii="Roboto" w:hAnsi="Roboto"/>
                <w:b w:val="0"/>
                <w:color w:val="FFFFFF" w:themeColor="background1"/>
                <w:sz w:val="24"/>
                <w:szCs w:val="20"/>
              </w:rPr>
            </w:pPr>
            <w:r w:rsidRPr="00953837">
              <w:rPr>
                <w:rFonts w:ascii="Roboto" w:hAnsi="Roboto"/>
                <w:color w:val="FFFFFF" w:themeColor="background1"/>
                <w:sz w:val="22"/>
                <w:szCs w:val="20"/>
              </w:rPr>
              <w:t>You must include an explanation of why you disagree with the additional information provided through the Stage 1 appeals process.</w:t>
            </w:r>
          </w:p>
          <w:p w14:paraId="2C4CB227" w14:textId="77777777" w:rsidR="00C506CE" w:rsidRPr="00D97EBC" w:rsidRDefault="00C506CE" w:rsidP="002A10E5">
            <w:pPr>
              <w:rPr>
                <w:rFonts w:ascii="Roboto" w:hAnsi="Roboto"/>
                <w:sz w:val="24"/>
                <w:szCs w:val="22"/>
              </w:rPr>
            </w:pPr>
            <w:r w:rsidRPr="00953837">
              <w:rPr>
                <w:rFonts w:ascii="Roboto" w:hAnsi="Roboto"/>
                <w:color w:val="FFFFFF" w:themeColor="background1"/>
                <w:sz w:val="22"/>
                <w:szCs w:val="20"/>
              </w:rPr>
              <w:t>Please attach additional sheets if necessary</w:t>
            </w:r>
          </w:p>
        </w:tc>
      </w:tr>
      <w:tr w:rsidR="00C506CE" w:rsidRPr="00D97EBC" w14:paraId="6977E7F8" w14:textId="77777777" w:rsidTr="002A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shd w:val="clear" w:color="auto" w:fill="auto"/>
          </w:tcPr>
          <w:p w14:paraId="6BE895C7" w14:textId="77777777" w:rsidR="00C506CE" w:rsidRPr="00D97EBC" w:rsidRDefault="00C506CE" w:rsidP="002A10E5">
            <w:pPr>
              <w:rPr>
                <w:rFonts w:ascii="Roboto" w:hAnsi="Roboto"/>
                <w:b w:val="0"/>
              </w:rPr>
            </w:pPr>
          </w:p>
          <w:p w14:paraId="54C6DE11" w14:textId="77777777" w:rsidR="00C506CE" w:rsidRPr="00D97EBC" w:rsidRDefault="00C506CE" w:rsidP="002A10E5">
            <w:pPr>
              <w:rPr>
                <w:rFonts w:ascii="Roboto" w:hAnsi="Roboto"/>
                <w:b w:val="0"/>
              </w:rPr>
            </w:pPr>
          </w:p>
          <w:p w14:paraId="6C4205DE" w14:textId="77777777" w:rsidR="00C506CE" w:rsidRPr="00D97EBC" w:rsidRDefault="00C506CE" w:rsidP="002A10E5">
            <w:pPr>
              <w:rPr>
                <w:rFonts w:ascii="Roboto" w:hAnsi="Roboto"/>
                <w:b w:val="0"/>
              </w:rPr>
            </w:pPr>
          </w:p>
          <w:p w14:paraId="3BE811BB" w14:textId="77777777" w:rsidR="00C506CE" w:rsidRPr="00D97EBC" w:rsidRDefault="00C506CE" w:rsidP="002A10E5">
            <w:pPr>
              <w:rPr>
                <w:rFonts w:ascii="Roboto" w:hAnsi="Roboto"/>
                <w:b w:val="0"/>
              </w:rPr>
            </w:pPr>
          </w:p>
          <w:p w14:paraId="50FD04FB" w14:textId="77777777" w:rsidR="00C506CE" w:rsidRPr="00D97EBC" w:rsidRDefault="00C506CE" w:rsidP="002A10E5">
            <w:pPr>
              <w:rPr>
                <w:rFonts w:ascii="Roboto" w:hAnsi="Roboto"/>
                <w:b w:val="0"/>
              </w:rPr>
            </w:pPr>
          </w:p>
          <w:p w14:paraId="15B4E70E" w14:textId="77777777" w:rsidR="00C506CE" w:rsidRPr="00D97EBC" w:rsidRDefault="00C506CE" w:rsidP="002A10E5">
            <w:pPr>
              <w:rPr>
                <w:rFonts w:ascii="Roboto" w:hAnsi="Roboto"/>
                <w:b w:val="0"/>
              </w:rPr>
            </w:pPr>
          </w:p>
          <w:p w14:paraId="5810BDB4" w14:textId="77777777" w:rsidR="00C506CE" w:rsidRPr="00D97EBC" w:rsidRDefault="00C506CE" w:rsidP="002A10E5">
            <w:pPr>
              <w:rPr>
                <w:rFonts w:ascii="Roboto" w:hAnsi="Roboto"/>
                <w:b w:val="0"/>
              </w:rPr>
            </w:pPr>
          </w:p>
          <w:p w14:paraId="154A9662" w14:textId="77777777" w:rsidR="00C506CE" w:rsidRPr="00D97EBC" w:rsidRDefault="00C506CE" w:rsidP="002A10E5">
            <w:pPr>
              <w:rPr>
                <w:rFonts w:ascii="Roboto" w:hAnsi="Roboto"/>
              </w:rPr>
            </w:pPr>
          </w:p>
        </w:tc>
      </w:tr>
    </w:tbl>
    <w:p w14:paraId="195A1785" w14:textId="77777777" w:rsidR="00C506CE" w:rsidRPr="00D97EBC" w:rsidRDefault="00C506CE" w:rsidP="00C506CE">
      <w:pPr>
        <w:rPr>
          <w:rFonts w:ascii="Roboto" w:hAnsi="Roboto"/>
        </w:rPr>
      </w:pPr>
    </w:p>
    <w:tbl>
      <w:tblPr>
        <w:tblStyle w:val="YFTableDarkBlue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506CE" w:rsidRPr="00D97EBC" w14:paraId="1EFA0FEA" w14:textId="77777777" w:rsidTr="002A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</w:tcPr>
          <w:p w14:paraId="304513A6" w14:textId="77777777" w:rsidR="00C506CE" w:rsidRPr="00D97EBC" w:rsidRDefault="00C506CE" w:rsidP="002A10E5">
            <w:pPr>
              <w:rPr>
                <w:rFonts w:ascii="Roboto" w:hAnsi="Roboto"/>
                <w:b w:val="0"/>
                <w:color w:val="FFFFFF" w:themeColor="background1"/>
              </w:rPr>
            </w:pPr>
            <w:r w:rsidRPr="00D97EBC">
              <w:rPr>
                <w:rFonts w:ascii="Roboto" w:hAnsi="Roboto"/>
                <w:color w:val="FFFFFF" w:themeColor="background1"/>
              </w:rPr>
              <w:t>Please list any supporting evidence you are supplying as attachments</w:t>
            </w:r>
          </w:p>
          <w:p w14:paraId="650F81F9" w14:textId="77777777" w:rsidR="00C506CE" w:rsidRPr="00D97EBC" w:rsidRDefault="00C506CE" w:rsidP="002A10E5">
            <w:pPr>
              <w:rPr>
                <w:rFonts w:ascii="Roboto" w:hAnsi="Roboto"/>
                <w:sz w:val="24"/>
                <w:szCs w:val="22"/>
              </w:rPr>
            </w:pPr>
            <w:r w:rsidRPr="00953837">
              <w:rPr>
                <w:rFonts w:ascii="Roboto" w:hAnsi="Roboto"/>
                <w:color w:val="FFFFFF" w:themeColor="background1"/>
                <w:sz w:val="22"/>
                <w:szCs w:val="20"/>
              </w:rPr>
              <w:t>Bullet point list with 1-2 sentence summary of relevance to appeal</w:t>
            </w:r>
          </w:p>
        </w:tc>
      </w:tr>
      <w:tr w:rsidR="00C506CE" w:rsidRPr="00D97EBC" w14:paraId="16BDE8CD" w14:textId="77777777" w:rsidTr="002A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shd w:val="clear" w:color="auto" w:fill="auto"/>
          </w:tcPr>
          <w:p w14:paraId="7A415168" w14:textId="77777777" w:rsidR="00C506CE" w:rsidRPr="00D97EBC" w:rsidRDefault="00C506CE" w:rsidP="00C506CE">
            <w:pPr>
              <w:pStyle w:val="ListParagraph"/>
              <w:numPr>
                <w:ilvl w:val="0"/>
                <w:numId w:val="5"/>
              </w:numPr>
              <w:rPr>
                <w:rFonts w:ascii="Roboto" w:hAnsi="Roboto"/>
              </w:rPr>
            </w:pPr>
          </w:p>
          <w:p w14:paraId="36DCF4F9" w14:textId="77777777" w:rsidR="00C506CE" w:rsidRPr="00D97EBC" w:rsidRDefault="00C506CE" w:rsidP="002A10E5">
            <w:pPr>
              <w:rPr>
                <w:rFonts w:ascii="Roboto" w:hAnsi="Roboto"/>
                <w:b w:val="0"/>
              </w:rPr>
            </w:pPr>
          </w:p>
          <w:p w14:paraId="55AEC767" w14:textId="77777777" w:rsidR="00C506CE" w:rsidRPr="00D97EBC" w:rsidRDefault="00C506CE" w:rsidP="002A10E5">
            <w:pPr>
              <w:rPr>
                <w:rFonts w:ascii="Roboto" w:hAnsi="Roboto"/>
                <w:b w:val="0"/>
              </w:rPr>
            </w:pPr>
          </w:p>
          <w:p w14:paraId="2D24972E" w14:textId="77777777" w:rsidR="00C506CE" w:rsidRPr="00D97EBC" w:rsidRDefault="00C506CE" w:rsidP="002A10E5">
            <w:pPr>
              <w:rPr>
                <w:rFonts w:ascii="Roboto" w:hAnsi="Roboto"/>
                <w:b w:val="0"/>
              </w:rPr>
            </w:pPr>
          </w:p>
          <w:p w14:paraId="6FC8949A" w14:textId="77777777" w:rsidR="00C506CE" w:rsidRPr="00D97EBC" w:rsidRDefault="00C506CE" w:rsidP="002A10E5">
            <w:pPr>
              <w:rPr>
                <w:rFonts w:ascii="Roboto" w:hAnsi="Roboto"/>
                <w:b w:val="0"/>
              </w:rPr>
            </w:pPr>
          </w:p>
          <w:p w14:paraId="7CF9D06D" w14:textId="77777777" w:rsidR="00C506CE" w:rsidRPr="00D97EBC" w:rsidRDefault="00C506CE" w:rsidP="002A10E5">
            <w:pPr>
              <w:rPr>
                <w:rFonts w:ascii="Roboto" w:hAnsi="Roboto"/>
              </w:rPr>
            </w:pPr>
          </w:p>
        </w:tc>
      </w:tr>
    </w:tbl>
    <w:p w14:paraId="1994D29C" w14:textId="77777777" w:rsidR="00C506CE" w:rsidRPr="00D97EBC" w:rsidRDefault="00C506CE" w:rsidP="00C506CE">
      <w:pPr>
        <w:rPr>
          <w:rFonts w:ascii="Roboto" w:hAnsi="Roboto"/>
        </w:rPr>
      </w:pPr>
    </w:p>
    <w:tbl>
      <w:tblPr>
        <w:tblStyle w:val="YFTableDarkBlue"/>
        <w:tblW w:w="0" w:type="auto"/>
        <w:tblLook w:val="04A0" w:firstRow="1" w:lastRow="0" w:firstColumn="1" w:lastColumn="0" w:noHBand="0" w:noVBand="1"/>
      </w:tblPr>
      <w:tblGrid>
        <w:gridCol w:w="3681"/>
        <w:gridCol w:w="6049"/>
      </w:tblGrid>
      <w:tr w:rsidR="00C506CE" w:rsidRPr="00D97EBC" w14:paraId="723A526C" w14:textId="77777777" w:rsidTr="002A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D605D05" w14:textId="77777777" w:rsidR="00C506CE" w:rsidRPr="00953837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0"/>
              </w:rPr>
            </w:pPr>
            <w:r w:rsidRPr="00953837">
              <w:rPr>
                <w:rFonts w:ascii="Roboto" w:hAnsi="Roboto"/>
                <w:color w:val="FFFFFF" w:themeColor="background1"/>
                <w:sz w:val="22"/>
                <w:szCs w:val="20"/>
              </w:rPr>
              <w:t>Candidate signature</w:t>
            </w:r>
          </w:p>
        </w:tc>
        <w:tc>
          <w:tcPr>
            <w:tcW w:w="604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4DD8B6A" w14:textId="77777777" w:rsidR="00C506CE" w:rsidRPr="00D97EBC" w:rsidRDefault="00C506CE" w:rsidP="002A10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C506CE" w:rsidRPr="00D97EBC" w14:paraId="0C22B48E" w14:textId="77777777" w:rsidTr="002A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278EF3F" w14:textId="77777777" w:rsidR="00C506CE" w:rsidRPr="00953837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0"/>
              </w:rPr>
            </w:pPr>
            <w:r w:rsidRPr="00953837">
              <w:rPr>
                <w:rFonts w:ascii="Roboto" w:hAnsi="Roboto"/>
                <w:color w:val="FFFFFF" w:themeColor="background1"/>
                <w:sz w:val="22"/>
                <w:szCs w:val="20"/>
              </w:rPr>
              <w:t xml:space="preserve">Date </w:t>
            </w:r>
          </w:p>
        </w:tc>
        <w:tc>
          <w:tcPr>
            <w:tcW w:w="6049" w:type="dxa"/>
            <w:tcBorders>
              <w:top w:val="single" w:sz="4" w:space="0" w:color="auto"/>
            </w:tcBorders>
          </w:tcPr>
          <w:p w14:paraId="347F2106" w14:textId="77777777" w:rsidR="00C506CE" w:rsidRPr="00D97EBC" w:rsidRDefault="00C506CE" w:rsidP="002A1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</w:tbl>
    <w:p w14:paraId="754DE927" w14:textId="77777777" w:rsidR="00C506CE" w:rsidRPr="00D97EBC" w:rsidRDefault="00C506CE" w:rsidP="00C506CE">
      <w:pPr>
        <w:rPr>
          <w:rFonts w:ascii="Roboto" w:hAnsi="Roboto"/>
        </w:rPr>
      </w:pPr>
      <w:r w:rsidRPr="00D97EBC">
        <w:rPr>
          <w:rFonts w:ascii="Roboto" w:hAnsi="Roboto"/>
        </w:rPr>
        <w:br w:type="page"/>
      </w:r>
    </w:p>
    <w:p w14:paraId="48F66DC9" w14:textId="77777777" w:rsidR="00C506CE" w:rsidRPr="00953837" w:rsidRDefault="00C506CE" w:rsidP="00C506CE">
      <w:pPr>
        <w:pStyle w:val="Heading2"/>
        <w:rPr>
          <w:rFonts w:ascii="Roboto" w:hAnsi="Roboto"/>
          <w:b/>
          <w:bCs/>
        </w:rPr>
      </w:pPr>
      <w:r w:rsidRPr="00953837">
        <w:rPr>
          <w:rFonts w:ascii="Roboto" w:hAnsi="Roboto"/>
          <w:b/>
          <w:bCs/>
        </w:rPr>
        <w:lastRenderedPageBreak/>
        <w:t>To be completed by IQA</w:t>
      </w:r>
    </w:p>
    <w:p w14:paraId="30DE9229" w14:textId="77777777" w:rsidR="00C506CE" w:rsidRPr="00D97EBC" w:rsidRDefault="00C506CE" w:rsidP="00C506CE">
      <w:pPr>
        <w:rPr>
          <w:rFonts w:ascii="Roboto" w:hAnsi="Roboto"/>
        </w:rPr>
      </w:pPr>
      <w:r w:rsidRPr="00D97EBC">
        <w:rPr>
          <w:rFonts w:ascii="Roboto" w:hAnsi="Roboto"/>
        </w:rPr>
        <w:br/>
        <w:t>A copy of this form will be provided to the candidate along with the final decision of the IQA.</w:t>
      </w:r>
    </w:p>
    <w:p w14:paraId="6599F613" w14:textId="77777777" w:rsidR="00C506CE" w:rsidRPr="00D97EBC" w:rsidRDefault="00C506CE" w:rsidP="00C506CE">
      <w:pPr>
        <w:rPr>
          <w:rFonts w:ascii="Roboto" w:hAnsi="Roboto"/>
        </w:rPr>
      </w:pPr>
    </w:p>
    <w:tbl>
      <w:tblPr>
        <w:tblStyle w:val="YFTableDarkBlue"/>
        <w:tblW w:w="0" w:type="auto"/>
        <w:tblLook w:val="04A0" w:firstRow="1" w:lastRow="0" w:firstColumn="1" w:lastColumn="0" w:noHBand="0" w:noVBand="1"/>
      </w:tblPr>
      <w:tblGrid>
        <w:gridCol w:w="3681"/>
        <w:gridCol w:w="6049"/>
      </w:tblGrid>
      <w:tr w:rsidR="00C506CE" w:rsidRPr="00D97EBC" w14:paraId="76BC44C8" w14:textId="77777777" w:rsidTr="002A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E82262B" w14:textId="77777777" w:rsidR="00C506CE" w:rsidRPr="00B57343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0"/>
              </w:rPr>
            </w:pPr>
            <w:r w:rsidRPr="00B57343">
              <w:rPr>
                <w:rFonts w:ascii="Roboto" w:hAnsi="Roboto"/>
                <w:color w:val="FFFFFF" w:themeColor="background1"/>
                <w:sz w:val="22"/>
                <w:szCs w:val="20"/>
              </w:rPr>
              <w:t>Candidate name</w:t>
            </w:r>
          </w:p>
        </w:tc>
        <w:tc>
          <w:tcPr>
            <w:tcW w:w="6049" w:type="dxa"/>
          </w:tcPr>
          <w:p w14:paraId="41FF35B5" w14:textId="77777777" w:rsidR="00C506CE" w:rsidRPr="00B57343" w:rsidRDefault="00C506CE" w:rsidP="002A10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0"/>
              </w:rPr>
            </w:pPr>
          </w:p>
        </w:tc>
      </w:tr>
      <w:tr w:rsidR="00C506CE" w:rsidRPr="00D97EBC" w14:paraId="61797BE2" w14:textId="77777777" w:rsidTr="002A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FA7994E" w14:textId="77777777" w:rsidR="00C506CE" w:rsidRPr="00B57343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0"/>
              </w:rPr>
            </w:pPr>
            <w:r w:rsidRPr="00B57343">
              <w:rPr>
                <w:rFonts w:ascii="Roboto" w:hAnsi="Roboto"/>
                <w:color w:val="FFFFFF" w:themeColor="background1"/>
                <w:sz w:val="22"/>
                <w:szCs w:val="20"/>
              </w:rPr>
              <w:t>Candidate number</w:t>
            </w:r>
          </w:p>
        </w:tc>
        <w:tc>
          <w:tcPr>
            <w:tcW w:w="6049" w:type="dxa"/>
          </w:tcPr>
          <w:p w14:paraId="4BB1077F" w14:textId="77777777" w:rsidR="00C506CE" w:rsidRPr="00B57343" w:rsidRDefault="00C506CE" w:rsidP="002A1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0"/>
              </w:rPr>
            </w:pPr>
          </w:p>
        </w:tc>
      </w:tr>
      <w:tr w:rsidR="00C506CE" w:rsidRPr="00D97EBC" w14:paraId="351004D6" w14:textId="77777777" w:rsidTr="002A1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C928AC3" w14:textId="77777777" w:rsidR="00C506CE" w:rsidRPr="00B57343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0"/>
              </w:rPr>
            </w:pPr>
            <w:r w:rsidRPr="00B57343">
              <w:rPr>
                <w:rFonts w:ascii="Roboto" w:hAnsi="Roboto"/>
                <w:color w:val="FFFFFF" w:themeColor="background1"/>
                <w:sz w:val="22"/>
                <w:szCs w:val="20"/>
              </w:rPr>
              <w:t>Delivery organisation</w:t>
            </w:r>
          </w:p>
        </w:tc>
        <w:tc>
          <w:tcPr>
            <w:tcW w:w="6049" w:type="dxa"/>
          </w:tcPr>
          <w:p w14:paraId="6CE1FF67" w14:textId="77777777" w:rsidR="00C506CE" w:rsidRPr="00B57343" w:rsidRDefault="00C506CE" w:rsidP="002A1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0"/>
              </w:rPr>
            </w:pPr>
          </w:p>
        </w:tc>
      </w:tr>
      <w:tr w:rsidR="00C506CE" w:rsidRPr="00D97EBC" w14:paraId="4A839549" w14:textId="77777777" w:rsidTr="002A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296474E" w14:textId="77777777" w:rsidR="00C506CE" w:rsidRPr="00B57343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0"/>
              </w:rPr>
            </w:pPr>
            <w:r w:rsidRPr="00B57343">
              <w:rPr>
                <w:rFonts w:ascii="Roboto" w:hAnsi="Roboto"/>
                <w:color w:val="FFFFFF" w:themeColor="background1"/>
                <w:sz w:val="22"/>
                <w:szCs w:val="20"/>
              </w:rPr>
              <w:t>Name of qualification</w:t>
            </w:r>
          </w:p>
        </w:tc>
        <w:tc>
          <w:tcPr>
            <w:tcW w:w="6049" w:type="dxa"/>
          </w:tcPr>
          <w:p w14:paraId="1A3A52B4" w14:textId="77777777" w:rsidR="00C506CE" w:rsidRPr="00B57343" w:rsidRDefault="00C506CE" w:rsidP="002A1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0"/>
              </w:rPr>
            </w:pPr>
          </w:p>
        </w:tc>
      </w:tr>
      <w:tr w:rsidR="00C506CE" w:rsidRPr="00D97EBC" w14:paraId="1B9D3043" w14:textId="77777777" w:rsidTr="002A1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502FFD1" w14:textId="77777777" w:rsidR="00C506CE" w:rsidRPr="00B57343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0"/>
              </w:rPr>
            </w:pPr>
            <w:r w:rsidRPr="00B57343">
              <w:rPr>
                <w:rFonts w:ascii="Roboto" w:hAnsi="Roboto"/>
                <w:color w:val="FFFFFF" w:themeColor="background1"/>
                <w:sz w:val="22"/>
                <w:szCs w:val="20"/>
              </w:rPr>
              <w:t>Date of assessment</w:t>
            </w:r>
          </w:p>
        </w:tc>
        <w:tc>
          <w:tcPr>
            <w:tcW w:w="6049" w:type="dxa"/>
          </w:tcPr>
          <w:p w14:paraId="4F1CB6CA" w14:textId="77777777" w:rsidR="00C506CE" w:rsidRPr="00B57343" w:rsidRDefault="00C506CE" w:rsidP="002A1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0"/>
              </w:rPr>
            </w:pPr>
          </w:p>
        </w:tc>
      </w:tr>
      <w:tr w:rsidR="00C506CE" w:rsidRPr="00D97EBC" w14:paraId="1F7CC2A3" w14:textId="77777777" w:rsidTr="002A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8513BC0" w14:textId="77777777" w:rsidR="00C506CE" w:rsidRPr="00B57343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0"/>
              </w:rPr>
            </w:pPr>
            <w:r w:rsidRPr="00B57343">
              <w:rPr>
                <w:rFonts w:ascii="Roboto" w:hAnsi="Roboto"/>
                <w:color w:val="FFFFFF" w:themeColor="background1"/>
                <w:sz w:val="22"/>
                <w:szCs w:val="20"/>
              </w:rPr>
              <w:t>Name of original assessor</w:t>
            </w:r>
          </w:p>
        </w:tc>
        <w:tc>
          <w:tcPr>
            <w:tcW w:w="6049" w:type="dxa"/>
          </w:tcPr>
          <w:p w14:paraId="5F6E248B" w14:textId="77777777" w:rsidR="00C506CE" w:rsidRPr="00B57343" w:rsidRDefault="00C506CE" w:rsidP="002A1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0"/>
              </w:rPr>
            </w:pPr>
          </w:p>
        </w:tc>
      </w:tr>
    </w:tbl>
    <w:p w14:paraId="1043AE66" w14:textId="77777777" w:rsidR="00C506CE" w:rsidRPr="00D97EBC" w:rsidRDefault="00C506CE" w:rsidP="00C506CE">
      <w:pPr>
        <w:rPr>
          <w:rFonts w:ascii="Roboto" w:hAnsi="Roboto"/>
        </w:rPr>
      </w:pPr>
    </w:p>
    <w:p w14:paraId="0F8647F7" w14:textId="77777777" w:rsidR="00C506CE" w:rsidRPr="00D97EBC" w:rsidRDefault="00C506CE" w:rsidP="00C506CE">
      <w:pPr>
        <w:rPr>
          <w:rFonts w:ascii="Roboto" w:hAnsi="Roboto"/>
        </w:rPr>
      </w:pPr>
    </w:p>
    <w:tbl>
      <w:tblPr>
        <w:tblStyle w:val="YFTableDarkBlue"/>
        <w:tblW w:w="0" w:type="auto"/>
        <w:tblLook w:val="04A0" w:firstRow="1" w:lastRow="0" w:firstColumn="1" w:lastColumn="0" w:noHBand="0" w:noVBand="1"/>
      </w:tblPr>
      <w:tblGrid>
        <w:gridCol w:w="3681"/>
        <w:gridCol w:w="6049"/>
      </w:tblGrid>
      <w:tr w:rsidR="00C506CE" w:rsidRPr="00D97EBC" w14:paraId="30A01240" w14:textId="77777777" w:rsidTr="002A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7818" w14:textId="77777777" w:rsidR="00C506CE" w:rsidRPr="00B57343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0"/>
              </w:rPr>
            </w:pPr>
            <w:r w:rsidRPr="00B57343">
              <w:rPr>
                <w:rFonts w:ascii="Roboto" w:hAnsi="Roboto"/>
                <w:color w:val="FFFFFF" w:themeColor="background1"/>
                <w:sz w:val="22"/>
                <w:szCs w:val="20"/>
              </w:rPr>
              <w:t>Date of panel meeting</w:t>
            </w:r>
          </w:p>
        </w:tc>
        <w:tc>
          <w:tcPr>
            <w:tcW w:w="6049" w:type="dxa"/>
            <w:shd w:val="clear" w:color="auto" w:fill="FFFFFF" w:themeFill="background1"/>
          </w:tcPr>
          <w:p w14:paraId="27A2EE63" w14:textId="77777777" w:rsidR="00C506CE" w:rsidRPr="00B57343" w:rsidRDefault="00C506CE" w:rsidP="002A10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0"/>
              </w:rPr>
            </w:pPr>
          </w:p>
        </w:tc>
      </w:tr>
      <w:tr w:rsidR="00C506CE" w:rsidRPr="00D97EBC" w14:paraId="5AD323B3" w14:textId="77777777" w:rsidTr="002A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7E8E344" w14:textId="77777777" w:rsidR="00C506CE" w:rsidRPr="00B57343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0"/>
              </w:rPr>
            </w:pPr>
            <w:r w:rsidRPr="00B57343">
              <w:rPr>
                <w:rFonts w:ascii="Roboto" w:hAnsi="Roboto"/>
                <w:color w:val="FFFFFF" w:themeColor="background1"/>
                <w:sz w:val="22"/>
                <w:szCs w:val="20"/>
              </w:rPr>
              <w:t>Panel members</w:t>
            </w:r>
          </w:p>
        </w:tc>
        <w:tc>
          <w:tcPr>
            <w:tcW w:w="6049" w:type="dxa"/>
          </w:tcPr>
          <w:p w14:paraId="0C635C28" w14:textId="77777777" w:rsidR="00C506CE" w:rsidRPr="00B57343" w:rsidRDefault="00C506CE" w:rsidP="002A1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0"/>
              </w:rPr>
            </w:pPr>
          </w:p>
        </w:tc>
      </w:tr>
    </w:tbl>
    <w:p w14:paraId="710D7A91" w14:textId="77777777" w:rsidR="00C506CE" w:rsidRPr="00D97EBC" w:rsidRDefault="00C506CE" w:rsidP="00C506CE">
      <w:pPr>
        <w:rPr>
          <w:rFonts w:ascii="Roboto" w:hAnsi="Roboto"/>
        </w:rPr>
      </w:pPr>
    </w:p>
    <w:p w14:paraId="2D240623" w14:textId="77777777" w:rsidR="00C506CE" w:rsidRPr="00D97EBC" w:rsidRDefault="00C506CE" w:rsidP="00C506CE">
      <w:pPr>
        <w:rPr>
          <w:rFonts w:ascii="Roboto" w:hAnsi="Roboto"/>
        </w:rPr>
      </w:pPr>
    </w:p>
    <w:tbl>
      <w:tblPr>
        <w:tblStyle w:val="YFTableDarkBlue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506CE" w:rsidRPr="00D97EBC" w14:paraId="50D67BA3" w14:textId="77777777" w:rsidTr="002A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</w:tcPr>
          <w:p w14:paraId="5A0C3120" w14:textId="77777777" w:rsidR="00C506CE" w:rsidRPr="00D97EBC" w:rsidRDefault="00C506CE" w:rsidP="002A10E5">
            <w:pPr>
              <w:rPr>
                <w:rFonts w:ascii="Roboto" w:hAnsi="Roboto"/>
                <w:b w:val="0"/>
                <w:color w:val="FFFFFF" w:themeColor="background1"/>
              </w:rPr>
            </w:pPr>
            <w:r w:rsidRPr="00D97EBC">
              <w:rPr>
                <w:rFonts w:ascii="Roboto" w:hAnsi="Roboto"/>
                <w:color w:val="FFFFFF" w:themeColor="background1"/>
              </w:rPr>
              <w:t>Details of the meeting</w:t>
            </w:r>
          </w:p>
          <w:p w14:paraId="20C56C3F" w14:textId="77777777" w:rsidR="00C506CE" w:rsidRPr="00D97EBC" w:rsidRDefault="00C506CE" w:rsidP="002A10E5">
            <w:pPr>
              <w:rPr>
                <w:rFonts w:ascii="Roboto" w:hAnsi="Roboto"/>
                <w:sz w:val="24"/>
                <w:szCs w:val="22"/>
              </w:rPr>
            </w:pPr>
            <w:r w:rsidRPr="00B57343">
              <w:rPr>
                <w:rFonts w:ascii="Roboto" w:hAnsi="Roboto"/>
                <w:color w:val="FFFFFF" w:themeColor="background1"/>
                <w:sz w:val="22"/>
                <w:szCs w:val="20"/>
              </w:rPr>
              <w:t>To include rationale for final decision and evidence considered</w:t>
            </w:r>
          </w:p>
        </w:tc>
      </w:tr>
      <w:tr w:rsidR="00C506CE" w:rsidRPr="00D97EBC" w14:paraId="710CA80B" w14:textId="77777777" w:rsidTr="002A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shd w:val="clear" w:color="auto" w:fill="auto"/>
          </w:tcPr>
          <w:p w14:paraId="4F51F262" w14:textId="77777777" w:rsidR="00C506CE" w:rsidRPr="00D97EBC" w:rsidRDefault="00C506CE" w:rsidP="002A10E5">
            <w:pPr>
              <w:rPr>
                <w:rFonts w:ascii="Roboto" w:hAnsi="Roboto"/>
              </w:rPr>
            </w:pPr>
          </w:p>
          <w:p w14:paraId="15CC6F19" w14:textId="77777777" w:rsidR="00C506CE" w:rsidRPr="00D97EBC" w:rsidRDefault="00C506CE" w:rsidP="002A10E5">
            <w:pPr>
              <w:rPr>
                <w:rFonts w:ascii="Roboto" w:hAnsi="Roboto"/>
                <w:b w:val="0"/>
              </w:rPr>
            </w:pPr>
          </w:p>
          <w:p w14:paraId="5ECECF39" w14:textId="77777777" w:rsidR="00C506CE" w:rsidRPr="00D97EBC" w:rsidRDefault="00C506CE" w:rsidP="002A10E5">
            <w:pPr>
              <w:rPr>
                <w:rFonts w:ascii="Roboto" w:hAnsi="Roboto"/>
                <w:b w:val="0"/>
              </w:rPr>
            </w:pPr>
          </w:p>
          <w:p w14:paraId="3EF09FF0" w14:textId="77777777" w:rsidR="00C506CE" w:rsidRPr="00D97EBC" w:rsidRDefault="00C506CE" w:rsidP="002A10E5">
            <w:pPr>
              <w:rPr>
                <w:rFonts w:ascii="Roboto" w:hAnsi="Roboto"/>
                <w:b w:val="0"/>
              </w:rPr>
            </w:pPr>
          </w:p>
          <w:p w14:paraId="3034990C" w14:textId="77777777" w:rsidR="00C506CE" w:rsidRPr="00D97EBC" w:rsidRDefault="00C506CE" w:rsidP="002A10E5">
            <w:pPr>
              <w:rPr>
                <w:rFonts w:ascii="Roboto" w:hAnsi="Roboto"/>
                <w:b w:val="0"/>
              </w:rPr>
            </w:pPr>
          </w:p>
          <w:p w14:paraId="6CE0398C" w14:textId="77777777" w:rsidR="00C506CE" w:rsidRPr="00D97EBC" w:rsidRDefault="00C506CE" w:rsidP="002A10E5">
            <w:pPr>
              <w:rPr>
                <w:rFonts w:ascii="Roboto" w:hAnsi="Roboto"/>
              </w:rPr>
            </w:pPr>
          </w:p>
        </w:tc>
      </w:tr>
    </w:tbl>
    <w:p w14:paraId="0D979553" w14:textId="77777777" w:rsidR="00C506CE" w:rsidRPr="00D97EBC" w:rsidRDefault="00C506CE" w:rsidP="00C506CE">
      <w:pPr>
        <w:rPr>
          <w:rFonts w:ascii="Roboto" w:hAnsi="Roboto"/>
        </w:rPr>
      </w:pPr>
    </w:p>
    <w:p w14:paraId="0B485737" w14:textId="77777777" w:rsidR="00C506CE" w:rsidRPr="00B57343" w:rsidRDefault="00C506CE" w:rsidP="00B57343">
      <w:pPr>
        <w:pStyle w:val="Heading3"/>
        <w:rPr>
          <w:rFonts w:ascii="Roboto" w:hAnsi="Roboto"/>
          <w:color w:val="0D153B"/>
        </w:rPr>
      </w:pPr>
      <w:r w:rsidRPr="00B57343">
        <w:rPr>
          <w:rFonts w:ascii="Roboto" w:hAnsi="Roboto"/>
          <w:color w:val="0D153B"/>
        </w:rPr>
        <w:t>Final decision</w:t>
      </w:r>
    </w:p>
    <w:p w14:paraId="71468616" w14:textId="77777777" w:rsidR="00C506CE" w:rsidRPr="00D97EBC" w:rsidRDefault="00C506CE" w:rsidP="00C506CE">
      <w:pPr>
        <w:rPr>
          <w:rFonts w:ascii="Roboto" w:hAnsi="Roboto"/>
        </w:rPr>
      </w:pPr>
    </w:p>
    <w:tbl>
      <w:tblPr>
        <w:tblStyle w:val="YFTableDarkBlue"/>
        <w:tblW w:w="0" w:type="auto"/>
        <w:tblLook w:val="04A0" w:firstRow="1" w:lastRow="0" w:firstColumn="1" w:lastColumn="0" w:noHBand="0" w:noVBand="1"/>
      </w:tblPr>
      <w:tblGrid>
        <w:gridCol w:w="3681"/>
        <w:gridCol w:w="1984"/>
      </w:tblGrid>
      <w:tr w:rsidR="00C506CE" w:rsidRPr="00B57343" w14:paraId="5264A085" w14:textId="77777777" w:rsidTr="002A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992E12B" w14:textId="77777777" w:rsidR="00C506CE" w:rsidRPr="00B57343" w:rsidRDefault="00C506CE" w:rsidP="002A10E5">
            <w:pPr>
              <w:rPr>
                <w:rFonts w:ascii="Roboto" w:hAnsi="Roboto"/>
                <w:color w:val="FFFFFF" w:themeColor="background1"/>
                <w:sz w:val="24"/>
                <w:szCs w:val="22"/>
              </w:rPr>
            </w:pPr>
            <w:r w:rsidRPr="00B57343">
              <w:rPr>
                <w:rFonts w:ascii="Roboto" w:hAnsi="Roboto"/>
                <w:color w:val="FFFFFF" w:themeColor="background1"/>
                <w:sz w:val="22"/>
                <w:szCs w:val="20"/>
              </w:rPr>
              <w:t>Uphold original decision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2D50D1B" w14:textId="77777777" w:rsidR="00C506CE" w:rsidRPr="00B57343" w:rsidRDefault="00C506CE" w:rsidP="002A10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2"/>
              </w:rPr>
            </w:pPr>
          </w:p>
        </w:tc>
      </w:tr>
      <w:tr w:rsidR="00C506CE" w:rsidRPr="00B57343" w14:paraId="6B5BDA0F" w14:textId="77777777" w:rsidTr="002A1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96EF4BD" w14:textId="77777777" w:rsidR="00C506CE" w:rsidRPr="00B57343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B57343">
              <w:rPr>
                <w:rFonts w:ascii="Roboto" w:hAnsi="Roboto"/>
                <w:color w:val="FFFFFF" w:themeColor="background1"/>
                <w:sz w:val="22"/>
                <w:szCs w:val="22"/>
              </w:rPr>
              <w:t>Invite to resubmit free of charge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0B0027A" w14:textId="77777777" w:rsidR="00C506CE" w:rsidRPr="00B57343" w:rsidRDefault="00C506CE" w:rsidP="002A1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  <w:tr w:rsidR="00C506CE" w:rsidRPr="00B57343" w14:paraId="38708A77" w14:textId="77777777" w:rsidTr="002A1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DC96630" w14:textId="77777777" w:rsidR="00C506CE" w:rsidRPr="00B57343" w:rsidRDefault="00C506CE" w:rsidP="002A10E5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B57343">
              <w:rPr>
                <w:rFonts w:ascii="Roboto" w:hAnsi="Roboto"/>
                <w:color w:val="FFFFFF" w:themeColor="background1"/>
                <w:sz w:val="22"/>
                <w:szCs w:val="22"/>
              </w:rPr>
              <w:t>Amend assessment decision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621946" w14:textId="77777777" w:rsidR="00C506CE" w:rsidRPr="00B57343" w:rsidRDefault="00C506CE" w:rsidP="002A1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5F61F1BA" w14:textId="77777777" w:rsidR="00C506CE" w:rsidRPr="00B57343" w:rsidRDefault="00C506CE" w:rsidP="00C506CE">
      <w:pPr>
        <w:rPr>
          <w:rFonts w:ascii="Roboto" w:hAnsi="Roboto"/>
          <w:sz w:val="20"/>
          <w:szCs w:val="20"/>
        </w:rPr>
      </w:pPr>
    </w:p>
    <w:tbl>
      <w:tblPr>
        <w:tblStyle w:val="YFTableDarkBlue"/>
        <w:tblW w:w="0" w:type="auto"/>
        <w:tblLook w:val="04A0" w:firstRow="1" w:lastRow="0" w:firstColumn="1" w:lastColumn="0" w:noHBand="0" w:noVBand="1"/>
      </w:tblPr>
      <w:tblGrid>
        <w:gridCol w:w="2732"/>
        <w:gridCol w:w="3862"/>
        <w:gridCol w:w="3862"/>
      </w:tblGrid>
      <w:tr w:rsidR="00B57343" w:rsidRPr="00B57343" w14:paraId="4F15DEEB" w14:textId="77777777" w:rsidTr="00B57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14:paraId="4B835672" w14:textId="77777777" w:rsidR="00B57343" w:rsidRPr="00B57343" w:rsidRDefault="00B57343" w:rsidP="002A10E5">
            <w:pPr>
              <w:rPr>
                <w:rFonts w:ascii="Roboto" w:hAnsi="Roboto"/>
                <w:color w:val="FFFFFF" w:themeColor="background1"/>
                <w:sz w:val="24"/>
                <w:szCs w:val="22"/>
              </w:rPr>
            </w:pPr>
            <w:r w:rsidRPr="00B57343">
              <w:rPr>
                <w:rFonts w:ascii="Roboto" w:hAnsi="Roboto"/>
                <w:color w:val="FFFFFF" w:themeColor="background1"/>
                <w:sz w:val="22"/>
                <w:szCs w:val="20"/>
              </w:rPr>
              <w:t>IQA Panel Lead signature</w:t>
            </w:r>
          </w:p>
        </w:tc>
        <w:tc>
          <w:tcPr>
            <w:tcW w:w="3862" w:type="dxa"/>
            <w:shd w:val="clear" w:color="auto" w:fill="EEECE1" w:themeFill="background2"/>
          </w:tcPr>
          <w:p w14:paraId="45800732" w14:textId="77777777" w:rsidR="00B57343" w:rsidRPr="00B57343" w:rsidRDefault="00B57343" w:rsidP="002A10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8982025" w14:textId="71F7ABA0" w:rsidR="00B57343" w:rsidRPr="00B57343" w:rsidRDefault="00B57343" w:rsidP="002A10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2"/>
              </w:rPr>
            </w:pPr>
          </w:p>
        </w:tc>
      </w:tr>
      <w:tr w:rsidR="00B57343" w:rsidRPr="00B57343" w14:paraId="37732E31" w14:textId="77777777" w:rsidTr="00B57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14:paraId="1515AF0C" w14:textId="77777777" w:rsidR="00B57343" w:rsidRPr="00B57343" w:rsidRDefault="00B57343" w:rsidP="002A10E5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B57343">
              <w:rPr>
                <w:rFonts w:ascii="Roboto" w:hAnsi="Roboto"/>
                <w:color w:val="FFFFFF" w:themeColor="background1"/>
                <w:sz w:val="22"/>
                <w:szCs w:val="22"/>
              </w:rPr>
              <w:t xml:space="preserve">Date </w:t>
            </w:r>
          </w:p>
        </w:tc>
        <w:tc>
          <w:tcPr>
            <w:tcW w:w="3862" w:type="dxa"/>
          </w:tcPr>
          <w:p w14:paraId="57C2C068" w14:textId="77777777" w:rsidR="00B57343" w:rsidRPr="00B57343" w:rsidRDefault="00B57343" w:rsidP="002A1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</w:tcPr>
          <w:p w14:paraId="7BE91262" w14:textId="3C31A63A" w:rsidR="00B57343" w:rsidRPr="00B57343" w:rsidRDefault="00B57343" w:rsidP="002A1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E2BBD32" w14:textId="6EF93370" w:rsidR="00C506CE" w:rsidRPr="00D97EBC" w:rsidRDefault="00C506CE" w:rsidP="00C506CE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33"/>
      </w:tblGrid>
      <w:tr w:rsidR="00C506CE" w:rsidRPr="00D97EBC" w14:paraId="5F80B56C" w14:textId="77777777" w:rsidTr="002A10E5">
        <w:tc>
          <w:tcPr>
            <w:tcW w:w="3397" w:type="dxa"/>
          </w:tcPr>
          <w:p w14:paraId="2F05FBAF" w14:textId="77777777" w:rsidR="00C506CE" w:rsidRPr="00B57343" w:rsidRDefault="00C506CE" w:rsidP="002A10E5">
            <w:pPr>
              <w:rPr>
                <w:rFonts w:ascii="Roboto" w:hAnsi="Roboto"/>
                <w:color w:val="0D153B"/>
                <w:sz w:val="22"/>
                <w:szCs w:val="22"/>
              </w:rPr>
            </w:pPr>
            <w:r w:rsidRPr="00B57343">
              <w:rPr>
                <w:rFonts w:ascii="Roboto" w:hAnsi="Roboto"/>
                <w:color w:val="0D153B"/>
                <w:sz w:val="22"/>
                <w:szCs w:val="22"/>
              </w:rPr>
              <w:t>Date policy last reviewed</w:t>
            </w:r>
          </w:p>
        </w:tc>
        <w:tc>
          <w:tcPr>
            <w:tcW w:w="6333" w:type="dxa"/>
          </w:tcPr>
          <w:p w14:paraId="13953E38" w14:textId="77777777" w:rsidR="00C506CE" w:rsidRPr="00B57343" w:rsidRDefault="00C506CE" w:rsidP="002A10E5">
            <w:pPr>
              <w:rPr>
                <w:rFonts w:ascii="Roboto" w:hAnsi="Roboto"/>
                <w:color w:val="0D153B"/>
                <w:sz w:val="22"/>
                <w:szCs w:val="22"/>
              </w:rPr>
            </w:pPr>
            <w:r w:rsidRPr="00B57343">
              <w:rPr>
                <w:rFonts w:ascii="Roboto" w:hAnsi="Roboto"/>
                <w:color w:val="0D153B"/>
                <w:sz w:val="22"/>
                <w:szCs w:val="22"/>
              </w:rPr>
              <w:t>July 2021</w:t>
            </w:r>
          </w:p>
        </w:tc>
      </w:tr>
      <w:tr w:rsidR="00C506CE" w:rsidRPr="00D97EBC" w14:paraId="29F91093" w14:textId="77777777" w:rsidTr="002A10E5">
        <w:tc>
          <w:tcPr>
            <w:tcW w:w="3397" w:type="dxa"/>
          </w:tcPr>
          <w:p w14:paraId="67BCCA39" w14:textId="77777777" w:rsidR="00C506CE" w:rsidRPr="00B57343" w:rsidRDefault="00C506CE" w:rsidP="002A10E5">
            <w:pPr>
              <w:rPr>
                <w:rFonts w:ascii="Roboto" w:hAnsi="Roboto"/>
                <w:color w:val="0D153B"/>
                <w:sz w:val="22"/>
                <w:szCs w:val="22"/>
              </w:rPr>
            </w:pPr>
            <w:r w:rsidRPr="00B57343">
              <w:rPr>
                <w:rFonts w:ascii="Roboto" w:hAnsi="Roboto"/>
                <w:color w:val="0D153B"/>
                <w:sz w:val="22"/>
                <w:szCs w:val="22"/>
              </w:rPr>
              <w:t>Reviewer</w:t>
            </w:r>
          </w:p>
        </w:tc>
        <w:tc>
          <w:tcPr>
            <w:tcW w:w="6333" w:type="dxa"/>
          </w:tcPr>
          <w:p w14:paraId="50A6CC51" w14:textId="77777777" w:rsidR="00C506CE" w:rsidRPr="00B57343" w:rsidRDefault="00C506CE" w:rsidP="002A10E5">
            <w:pPr>
              <w:rPr>
                <w:rFonts w:ascii="Roboto" w:hAnsi="Roboto"/>
                <w:color w:val="0D153B"/>
                <w:sz w:val="22"/>
                <w:szCs w:val="22"/>
              </w:rPr>
            </w:pPr>
            <w:r w:rsidRPr="00B57343">
              <w:rPr>
                <w:rFonts w:ascii="Roboto" w:hAnsi="Roboto"/>
                <w:color w:val="0D153B"/>
                <w:sz w:val="22"/>
                <w:szCs w:val="22"/>
              </w:rPr>
              <w:t>VB</w:t>
            </w:r>
          </w:p>
        </w:tc>
      </w:tr>
      <w:tr w:rsidR="00C506CE" w:rsidRPr="00D97EBC" w14:paraId="483F8268" w14:textId="77777777" w:rsidTr="002A10E5">
        <w:tc>
          <w:tcPr>
            <w:tcW w:w="3397" w:type="dxa"/>
          </w:tcPr>
          <w:p w14:paraId="52FDA660" w14:textId="77777777" w:rsidR="00C506CE" w:rsidRPr="00B57343" w:rsidRDefault="00C506CE" w:rsidP="002A10E5">
            <w:pPr>
              <w:rPr>
                <w:rFonts w:ascii="Roboto" w:hAnsi="Roboto"/>
                <w:color w:val="0D153B"/>
                <w:sz w:val="22"/>
                <w:szCs w:val="22"/>
              </w:rPr>
            </w:pPr>
            <w:r w:rsidRPr="00B57343">
              <w:rPr>
                <w:rFonts w:ascii="Roboto" w:hAnsi="Roboto"/>
                <w:color w:val="0D153B"/>
                <w:sz w:val="22"/>
                <w:szCs w:val="22"/>
              </w:rPr>
              <w:t>Date of next review</w:t>
            </w:r>
          </w:p>
        </w:tc>
        <w:tc>
          <w:tcPr>
            <w:tcW w:w="6333" w:type="dxa"/>
          </w:tcPr>
          <w:p w14:paraId="67E49BF2" w14:textId="77777777" w:rsidR="00C506CE" w:rsidRPr="00B57343" w:rsidRDefault="00C506CE" w:rsidP="002A10E5">
            <w:pPr>
              <w:rPr>
                <w:rFonts w:ascii="Roboto" w:hAnsi="Roboto"/>
                <w:color w:val="0D153B"/>
                <w:sz w:val="22"/>
                <w:szCs w:val="22"/>
              </w:rPr>
            </w:pPr>
            <w:r w:rsidRPr="00B57343">
              <w:rPr>
                <w:rFonts w:ascii="Roboto" w:hAnsi="Roboto"/>
                <w:color w:val="0D153B"/>
                <w:sz w:val="22"/>
                <w:szCs w:val="22"/>
              </w:rPr>
              <w:t>July 2022</w:t>
            </w:r>
          </w:p>
        </w:tc>
      </w:tr>
    </w:tbl>
    <w:p w14:paraId="27370326" w14:textId="77777777" w:rsidR="00786CE6" w:rsidRPr="00D97EBC" w:rsidRDefault="00786CE6">
      <w:pPr>
        <w:rPr>
          <w:rFonts w:ascii="Roboto" w:eastAsia="Roboto" w:hAnsi="Roboto" w:cs="Roboto"/>
          <w:color w:val="1E2A5C"/>
          <w:sz w:val="20"/>
          <w:szCs w:val="20"/>
        </w:rPr>
      </w:pPr>
    </w:p>
    <w:sectPr w:rsidR="00786CE6" w:rsidRPr="00D97E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471F" w14:textId="77777777" w:rsidR="00890867" w:rsidRDefault="00890867">
      <w:pPr>
        <w:spacing w:line="240" w:lineRule="auto"/>
      </w:pPr>
      <w:r>
        <w:separator/>
      </w:r>
    </w:p>
  </w:endnote>
  <w:endnote w:type="continuationSeparator" w:id="0">
    <w:p w14:paraId="61BC3ABD" w14:textId="77777777" w:rsidR="00890867" w:rsidRDefault="00890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9878" w14:textId="77777777" w:rsidR="00786CE6" w:rsidRDefault="00786CE6">
    <w:pPr>
      <w:rPr>
        <w:rFonts w:ascii="Roboto" w:eastAsia="Roboto" w:hAnsi="Roboto" w:cs="Roboto"/>
        <w:color w:val="1E2A5C"/>
        <w:sz w:val="16"/>
        <w:szCs w:val="16"/>
      </w:rPr>
    </w:pPr>
  </w:p>
  <w:tbl>
    <w:tblPr>
      <w:tblStyle w:val="a0"/>
      <w:tblW w:w="10466" w:type="dxa"/>
      <w:tblLayout w:type="fixed"/>
      <w:tblLook w:val="0600" w:firstRow="0" w:lastRow="0" w:firstColumn="0" w:lastColumn="0" w:noHBand="1" w:noVBand="1"/>
    </w:tblPr>
    <w:tblGrid>
      <w:gridCol w:w="5233"/>
      <w:gridCol w:w="5233"/>
    </w:tblGrid>
    <w:tr w:rsidR="00786CE6" w14:paraId="7C6217F7" w14:textId="77777777">
      <w:tc>
        <w:tcPr>
          <w:tcW w:w="523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4A46FADA" w14:textId="77777777" w:rsidR="00786CE6" w:rsidRDefault="00DD27FB">
          <w:pPr>
            <w:widowControl w:val="0"/>
            <w:spacing w:line="240" w:lineRule="auto"/>
            <w:rPr>
              <w:rFonts w:ascii="Roboto" w:eastAsia="Roboto" w:hAnsi="Roboto" w:cs="Roboto"/>
              <w:b/>
              <w:color w:val="1E2A5C"/>
              <w:sz w:val="20"/>
              <w:szCs w:val="20"/>
            </w:rPr>
          </w:pPr>
          <w:r>
            <w:rPr>
              <w:rFonts w:ascii="Roboto" w:eastAsia="Roboto" w:hAnsi="Roboto" w:cs="Roboto"/>
              <w:b/>
              <w:color w:val="1E2A5C"/>
              <w:sz w:val="20"/>
              <w:szCs w:val="20"/>
            </w:rPr>
            <w:t>Shaping a fairer future</w:t>
          </w:r>
        </w:p>
        <w:p w14:paraId="20124D12" w14:textId="77777777" w:rsidR="00786CE6" w:rsidRDefault="00DD27FB">
          <w:pPr>
            <w:widowControl w:val="0"/>
            <w:spacing w:line="240" w:lineRule="auto"/>
            <w:rPr>
              <w:rFonts w:ascii="Roboto" w:eastAsia="Roboto" w:hAnsi="Roboto" w:cs="Roboto"/>
              <w:color w:val="1E2A5C"/>
              <w:sz w:val="20"/>
              <w:szCs w:val="20"/>
            </w:rPr>
          </w:pPr>
          <w:r>
            <w:rPr>
              <w:rFonts w:ascii="Roboto" w:eastAsia="Roboto" w:hAnsi="Roboto" w:cs="Roboto"/>
              <w:color w:val="1E2A5C"/>
              <w:sz w:val="20"/>
              <w:szCs w:val="20"/>
            </w:rPr>
            <w:t xml:space="preserve">We are the UK’s home for community </w:t>
          </w:r>
        </w:p>
        <w:p w14:paraId="79237723" w14:textId="77777777" w:rsidR="00786CE6" w:rsidRDefault="00DD27FB">
          <w:pPr>
            <w:widowControl w:val="0"/>
            <w:spacing w:line="240" w:lineRule="auto"/>
            <w:rPr>
              <w:rFonts w:ascii="Roboto" w:eastAsia="Roboto" w:hAnsi="Roboto" w:cs="Roboto"/>
              <w:color w:val="1E2A5C"/>
              <w:sz w:val="20"/>
              <w:szCs w:val="20"/>
            </w:rPr>
          </w:pPr>
          <w:r>
            <w:rPr>
              <w:rFonts w:ascii="Roboto" w:eastAsia="Roboto" w:hAnsi="Roboto" w:cs="Roboto"/>
              <w:color w:val="1E2A5C"/>
              <w:sz w:val="20"/>
              <w:szCs w:val="20"/>
            </w:rPr>
            <w:t>research and social innovation</w:t>
          </w:r>
        </w:p>
      </w:tc>
      <w:tc>
        <w:tcPr>
          <w:tcW w:w="523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609E847B" w14:textId="77777777" w:rsidR="00786CE6" w:rsidRDefault="00DD27FB">
          <w:pPr>
            <w:widowControl w:val="0"/>
            <w:spacing w:line="240" w:lineRule="auto"/>
            <w:rPr>
              <w:rFonts w:ascii="Roboto" w:eastAsia="Roboto" w:hAnsi="Roboto" w:cs="Roboto"/>
              <w:color w:val="1E2A5C"/>
              <w:sz w:val="14"/>
              <w:szCs w:val="14"/>
            </w:rPr>
          </w:pPr>
          <w:r>
            <w:rPr>
              <w:rFonts w:ascii="Roboto" w:eastAsia="Roboto" w:hAnsi="Roboto" w:cs="Roboto"/>
              <w:color w:val="1E2A5C"/>
              <w:sz w:val="14"/>
              <w:szCs w:val="14"/>
            </w:rPr>
            <w:t>The Young Foundation is a UKRI-accredited Independent Research Organisation and a Registered Charity in England and Wales. Our charity number is 274345.</w:t>
          </w:r>
        </w:p>
        <w:p w14:paraId="3C4D4BCF" w14:textId="77777777" w:rsidR="00786CE6" w:rsidRDefault="00DD27FB">
          <w:pPr>
            <w:widowControl w:val="0"/>
            <w:spacing w:line="240" w:lineRule="auto"/>
            <w:rPr>
              <w:rFonts w:ascii="Roboto" w:eastAsia="Roboto" w:hAnsi="Roboto" w:cs="Roboto"/>
              <w:color w:val="1E2A5C"/>
              <w:sz w:val="14"/>
              <w:szCs w:val="14"/>
            </w:rPr>
          </w:pPr>
          <w:r>
            <w:rPr>
              <w:rFonts w:ascii="Roboto" w:eastAsia="Roboto" w:hAnsi="Roboto" w:cs="Roboto"/>
              <w:color w:val="1E2A5C"/>
              <w:sz w:val="14"/>
              <w:szCs w:val="14"/>
            </w:rPr>
            <w:t>We are also a Company Limited by Guarantee, our company number is 1319183</w:t>
          </w:r>
        </w:p>
      </w:tc>
    </w:tr>
  </w:tbl>
  <w:p w14:paraId="5A3E61C7" w14:textId="77777777" w:rsidR="00786CE6" w:rsidRDefault="00786C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ADDB" w14:textId="77777777" w:rsidR="00786CE6" w:rsidRDefault="00786CE6">
    <w:pPr>
      <w:rPr>
        <w:rFonts w:ascii="Roboto" w:eastAsia="Roboto" w:hAnsi="Roboto" w:cs="Roboto"/>
        <w:color w:val="1E2A5C"/>
        <w:sz w:val="16"/>
        <w:szCs w:val="16"/>
      </w:rPr>
    </w:pPr>
  </w:p>
  <w:tbl>
    <w:tblPr>
      <w:tblStyle w:val="a"/>
      <w:tblW w:w="10466" w:type="dxa"/>
      <w:tblLayout w:type="fixed"/>
      <w:tblLook w:val="0600" w:firstRow="0" w:lastRow="0" w:firstColumn="0" w:lastColumn="0" w:noHBand="1" w:noVBand="1"/>
    </w:tblPr>
    <w:tblGrid>
      <w:gridCol w:w="5233"/>
      <w:gridCol w:w="5233"/>
    </w:tblGrid>
    <w:tr w:rsidR="00786CE6" w14:paraId="1ADEF8CC" w14:textId="77777777">
      <w:tc>
        <w:tcPr>
          <w:tcW w:w="523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437A727D" w14:textId="77777777" w:rsidR="00786CE6" w:rsidRDefault="00DD27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Roboto" w:eastAsia="Roboto" w:hAnsi="Roboto" w:cs="Roboto"/>
              <w:b/>
              <w:color w:val="1E2A5C"/>
              <w:sz w:val="20"/>
              <w:szCs w:val="20"/>
            </w:rPr>
          </w:pPr>
          <w:r>
            <w:rPr>
              <w:rFonts w:ascii="Roboto" w:eastAsia="Roboto" w:hAnsi="Roboto" w:cs="Roboto"/>
              <w:b/>
              <w:color w:val="1E2A5C"/>
              <w:sz w:val="20"/>
              <w:szCs w:val="20"/>
            </w:rPr>
            <w:t>Shaping a fairer future</w:t>
          </w:r>
        </w:p>
        <w:p w14:paraId="4B870DA3" w14:textId="77777777" w:rsidR="00786CE6" w:rsidRDefault="00DD27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Roboto" w:eastAsia="Roboto" w:hAnsi="Roboto" w:cs="Roboto"/>
              <w:color w:val="1E2A5C"/>
              <w:sz w:val="20"/>
              <w:szCs w:val="20"/>
            </w:rPr>
          </w:pPr>
          <w:r>
            <w:rPr>
              <w:rFonts w:ascii="Roboto" w:eastAsia="Roboto" w:hAnsi="Roboto" w:cs="Roboto"/>
              <w:color w:val="1E2A5C"/>
              <w:sz w:val="20"/>
              <w:szCs w:val="20"/>
            </w:rPr>
            <w:t xml:space="preserve">We are the UK’s home for community </w:t>
          </w:r>
        </w:p>
        <w:p w14:paraId="1722F318" w14:textId="77777777" w:rsidR="00786CE6" w:rsidRDefault="00DD27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Roboto" w:eastAsia="Roboto" w:hAnsi="Roboto" w:cs="Roboto"/>
              <w:color w:val="1E2A5C"/>
              <w:sz w:val="20"/>
              <w:szCs w:val="20"/>
            </w:rPr>
          </w:pPr>
          <w:r>
            <w:rPr>
              <w:rFonts w:ascii="Roboto" w:eastAsia="Roboto" w:hAnsi="Roboto" w:cs="Roboto"/>
              <w:color w:val="1E2A5C"/>
              <w:sz w:val="20"/>
              <w:szCs w:val="20"/>
            </w:rPr>
            <w:t>research and social innovation</w:t>
          </w:r>
        </w:p>
      </w:tc>
      <w:tc>
        <w:tcPr>
          <w:tcW w:w="523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32D4A122" w14:textId="77777777" w:rsidR="00786CE6" w:rsidRDefault="00DD27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Roboto" w:eastAsia="Roboto" w:hAnsi="Roboto" w:cs="Roboto"/>
              <w:color w:val="1E2A5C"/>
              <w:sz w:val="14"/>
              <w:szCs w:val="14"/>
            </w:rPr>
          </w:pPr>
          <w:r>
            <w:rPr>
              <w:rFonts w:ascii="Roboto" w:eastAsia="Roboto" w:hAnsi="Roboto" w:cs="Roboto"/>
              <w:color w:val="1E2A5C"/>
              <w:sz w:val="14"/>
              <w:szCs w:val="14"/>
            </w:rPr>
            <w:t>The Young Foundation is a UKRI-accredited Independent Research Organisation and a Registered Charity in England and Wales. Our charity number is 274345.</w:t>
          </w:r>
        </w:p>
        <w:p w14:paraId="22365EC9" w14:textId="77777777" w:rsidR="00786CE6" w:rsidRDefault="00DD27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Roboto" w:eastAsia="Roboto" w:hAnsi="Roboto" w:cs="Roboto"/>
              <w:color w:val="1E2A5C"/>
              <w:sz w:val="14"/>
              <w:szCs w:val="14"/>
            </w:rPr>
          </w:pPr>
          <w:r>
            <w:rPr>
              <w:rFonts w:ascii="Roboto" w:eastAsia="Roboto" w:hAnsi="Roboto" w:cs="Roboto"/>
              <w:color w:val="1E2A5C"/>
              <w:sz w:val="14"/>
              <w:szCs w:val="14"/>
            </w:rPr>
            <w:t>We are also a Company Limited by Guarantee, our company number is 1319183</w:t>
          </w:r>
        </w:p>
      </w:tc>
    </w:tr>
  </w:tbl>
  <w:p w14:paraId="76FB714A" w14:textId="77777777" w:rsidR="00786CE6" w:rsidRDefault="00786CE6">
    <w:pPr>
      <w:rPr>
        <w:rFonts w:ascii="Roboto" w:eastAsia="Roboto" w:hAnsi="Roboto" w:cs="Roboto"/>
        <w:color w:val="1E2A5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BC48" w14:textId="77777777" w:rsidR="00890867" w:rsidRDefault="00890867">
      <w:pPr>
        <w:spacing w:line="240" w:lineRule="auto"/>
      </w:pPr>
      <w:r>
        <w:separator/>
      </w:r>
    </w:p>
  </w:footnote>
  <w:footnote w:type="continuationSeparator" w:id="0">
    <w:p w14:paraId="517D1648" w14:textId="77777777" w:rsidR="00890867" w:rsidRDefault="00890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24AD" w14:textId="77777777" w:rsidR="00786CE6" w:rsidRDefault="00786CE6"/>
  <w:p w14:paraId="599EBF1D" w14:textId="77777777" w:rsidR="00786CE6" w:rsidRDefault="00786CE6"/>
  <w:p w14:paraId="3A169334" w14:textId="77777777" w:rsidR="00786CE6" w:rsidRDefault="00786CE6"/>
  <w:p w14:paraId="0F19F94D" w14:textId="77777777" w:rsidR="00786CE6" w:rsidRDefault="00786CE6"/>
  <w:p w14:paraId="727DB66B" w14:textId="77777777" w:rsidR="00786CE6" w:rsidRDefault="00786CE6"/>
  <w:p w14:paraId="5BCC1098" w14:textId="77777777" w:rsidR="00786CE6" w:rsidRDefault="00786CE6"/>
  <w:p w14:paraId="3EA57C73" w14:textId="77777777" w:rsidR="00786CE6" w:rsidRDefault="00786CE6"/>
  <w:p w14:paraId="6DA40A76" w14:textId="77777777" w:rsidR="00786CE6" w:rsidRDefault="00786CE6"/>
  <w:p w14:paraId="49324408" w14:textId="77777777" w:rsidR="00786CE6" w:rsidRDefault="00786CE6"/>
  <w:p w14:paraId="2868C7CA" w14:textId="77777777" w:rsidR="00786CE6" w:rsidRDefault="00786CE6"/>
  <w:p w14:paraId="56C564E7" w14:textId="77777777" w:rsidR="00786CE6" w:rsidRDefault="00786CE6"/>
  <w:p w14:paraId="6DBCC78F" w14:textId="77777777" w:rsidR="00786CE6" w:rsidRDefault="00DD27FB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83E84BB" wp14:editId="3176BC19">
          <wp:simplePos x="0" y="0"/>
          <wp:positionH relativeFrom="page">
            <wp:posOffset>-6186</wp:posOffset>
          </wp:positionH>
          <wp:positionV relativeFrom="page">
            <wp:posOffset>-9524</wp:posOffset>
          </wp:positionV>
          <wp:extent cx="7573191" cy="368141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2" b="22"/>
                  <a:stretch>
                    <a:fillRect/>
                  </a:stretch>
                </pic:blipFill>
                <pic:spPr>
                  <a:xfrm>
                    <a:off x="0" y="0"/>
                    <a:ext cx="7573191" cy="3681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213F" w14:textId="77777777" w:rsidR="00786CE6" w:rsidRDefault="00DD27FB">
    <w:pPr>
      <w:ind w:left="-720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31ACD78" wp14:editId="26494BE3">
          <wp:simplePos x="0" y="0"/>
          <wp:positionH relativeFrom="page">
            <wp:posOffset>8100</wp:posOffset>
          </wp:positionH>
          <wp:positionV relativeFrom="page">
            <wp:posOffset>-33337</wp:posOffset>
          </wp:positionV>
          <wp:extent cx="7573191" cy="368141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2" b="22"/>
                  <a:stretch>
                    <a:fillRect/>
                  </a:stretch>
                </pic:blipFill>
                <pic:spPr>
                  <a:xfrm>
                    <a:off x="0" y="0"/>
                    <a:ext cx="7573191" cy="3681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271FDD" w14:textId="77777777" w:rsidR="00786CE6" w:rsidRDefault="00786CE6">
    <w:pPr>
      <w:ind w:left="-720"/>
    </w:pPr>
  </w:p>
  <w:p w14:paraId="21FE410C" w14:textId="77777777" w:rsidR="00786CE6" w:rsidRDefault="00786CE6">
    <w:pPr>
      <w:ind w:left="-720"/>
    </w:pPr>
  </w:p>
  <w:p w14:paraId="32122215" w14:textId="77777777" w:rsidR="00786CE6" w:rsidRDefault="00786CE6">
    <w:pPr>
      <w:ind w:left="-720"/>
    </w:pPr>
  </w:p>
  <w:p w14:paraId="7CB2465C" w14:textId="77777777" w:rsidR="00786CE6" w:rsidRDefault="00786CE6">
    <w:pPr>
      <w:ind w:left="-720"/>
    </w:pPr>
  </w:p>
  <w:p w14:paraId="5E42233E" w14:textId="77777777" w:rsidR="00786CE6" w:rsidRDefault="00786CE6">
    <w:pPr>
      <w:ind w:left="-720"/>
    </w:pPr>
  </w:p>
  <w:p w14:paraId="2A4EEA0D" w14:textId="77777777" w:rsidR="00786CE6" w:rsidRDefault="00786CE6">
    <w:pPr>
      <w:ind w:left="-720"/>
    </w:pPr>
  </w:p>
  <w:p w14:paraId="3075B71C" w14:textId="77777777" w:rsidR="00786CE6" w:rsidRDefault="00786CE6">
    <w:pPr>
      <w:ind w:left="-720"/>
    </w:pPr>
  </w:p>
  <w:p w14:paraId="2EFE8477" w14:textId="77777777" w:rsidR="00786CE6" w:rsidRDefault="00786CE6">
    <w:pPr>
      <w:ind w:left="-720"/>
    </w:pPr>
  </w:p>
  <w:p w14:paraId="752C9428" w14:textId="77777777" w:rsidR="00786CE6" w:rsidRDefault="00786CE6">
    <w:pPr>
      <w:ind w:left="-720"/>
    </w:pPr>
  </w:p>
  <w:p w14:paraId="4A3CB4F2" w14:textId="77777777" w:rsidR="00786CE6" w:rsidRDefault="00786CE6">
    <w:pPr>
      <w:ind w:left="-720"/>
    </w:pPr>
  </w:p>
  <w:p w14:paraId="15F68FD8" w14:textId="77777777" w:rsidR="00786CE6" w:rsidRDefault="00786CE6">
    <w:pPr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29E50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6E442E"/>
    <w:multiLevelType w:val="hybridMultilevel"/>
    <w:tmpl w:val="9EAA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639E"/>
    <w:multiLevelType w:val="hybridMultilevel"/>
    <w:tmpl w:val="B22A8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C302E"/>
    <w:multiLevelType w:val="hybridMultilevel"/>
    <w:tmpl w:val="37DEAA4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2C6458A"/>
    <w:multiLevelType w:val="hybridMultilevel"/>
    <w:tmpl w:val="1716F04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687350F"/>
    <w:multiLevelType w:val="hybridMultilevel"/>
    <w:tmpl w:val="652CC41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23225F0"/>
    <w:multiLevelType w:val="hybridMultilevel"/>
    <w:tmpl w:val="B22A8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E6"/>
    <w:rsid w:val="000B4BFA"/>
    <w:rsid w:val="000F2C2C"/>
    <w:rsid w:val="00163D86"/>
    <w:rsid w:val="002C3603"/>
    <w:rsid w:val="002E7161"/>
    <w:rsid w:val="003804EA"/>
    <w:rsid w:val="003858BA"/>
    <w:rsid w:val="004C4795"/>
    <w:rsid w:val="00520DC9"/>
    <w:rsid w:val="00561729"/>
    <w:rsid w:val="005D38C7"/>
    <w:rsid w:val="006A60B2"/>
    <w:rsid w:val="006B7804"/>
    <w:rsid w:val="00745090"/>
    <w:rsid w:val="00786CE6"/>
    <w:rsid w:val="00821389"/>
    <w:rsid w:val="00890867"/>
    <w:rsid w:val="00953837"/>
    <w:rsid w:val="00A16802"/>
    <w:rsid w:val="00A37EC2"/>
    <w:rsid w:val="00B57343"/>
    <w:rsid w:val="00C17C64"/>
    <w:rsid w:val="00C506CE"/>
    <w:rsid w:val="00C90801"/>
    <w:rsid w:val="00D42A15"/>
    <w:rsid w:val="00D46AC1"/>
    <w:rsid w:val="00D97EBC"/>
    <w:rsid w:val="00DB48D9"/>
    <w:rsid w:val="00DD27FB"/>
    <w:rsid w:val="00E921DF"/>
    <w:rsid w:val="00F15A61"/>
    <w:rsid w:val="00F5759F"/>
    <w:rsid w:val="00F8337D"/>
    <w:rsid w:val="00F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204BF"/>
  <w15:docId w15:val="{A8A6A931-73FE-49C8-82B9-698297D9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13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389"/>
  </w:style>
  <w:style w:type="paragraph" w:styleId="Footer">
    <w:name w:val="footer"/>
    <w:basedOn w:val="Normal"/>
    <w:link w:val="FooterChar"/>
    <w:uiPriority w:val="99"/>
    <w:unhideWhenUsed/>
    <w:rsid w:val="008213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89"/>
  </w:style>
  <w:style w:type="paragraph" w:styleId="ListParagraph">
    <w:name w:val="List Paragraph"/>
    <w:basedOn w:val="Normal"/>
    <w:uiPriority w:val="34"/>
    <w:qFormat/>
    <w:rsid w:val="00C506CE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4F81BD" w:themeColor="accent1"/>
      <w:sz w:val="24"/>
      <w:szCs w:val="24"/>
      <w:lang w:val="en-GB" w:eastAsia="en-US"/>
    </w:rPr>
  </w:style>
  <w:style w:type="paragraph" w:customStyle="1" w:styleId="YFBulletsRedBold">
    <w:name w:val="YF Bullets Red Bold"/>
    <w:basedOn w:val="ListBullet2"/>
    <w:qFormat/>
    <w:rsid w:val="00C506CE"/>
    <w:rPr>
      <w:rFonts w:ascii="Calibri" w:hAnsi="Calibri"/>
      <w:b/>
      <w:color w:val="C0504D" w:themeColor="accent2"/>
    </w:rPr>
  </w:style>
  <w:style w:type="table" w:styleId="TableGrid">
    <w:name w:val="Table Grid"/>
    <w:basedOn w:val="TableNormal"/>
    <w:uiPriority w:val="39"/>
    <w:rsid w:val="00C506CE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uiPriority w:val="99"/>
    <w:semiHidden/>
    <w:unhideWhenUsed/>
    <w:rsid w:val="00C506CE"/>
    <w:pPr>
      <w:numPr>
        <w:numId w:val="1"/>
      </w:numPr>
      <w:spacing w:line="240" w:lineRule="auto"/>
      <w:contextualSpacing/>
    </w:pPr>
    <w:rPr>
      <w:rFonts w:asciiTheme="minorHAnsi" w:eastAsiaTheme="minorHAnsi" w:hAnsiTheme="minorHAnsi" w:cstheme="minorBidi"/>
      <w:color w:val="4F81BD" w:themeColor="accent1"/>
      <w:sz w:val="24"/>
      <w:szCs w:val="24"/>
      <w:lang w:val="en-GB" w:eastAsia="en-US"/>
    </w:rPr>
  </w:style>
  <w:style w:type="table" w:customStyle="1" w:styleId="YFTableDarkBlue">
    <w:name w:val="YF Table Dark Blue"/>
    <w:basedOn w:val="TableNormal"/>
    <w:uiPriority w:val="99"/>
    <w:rsid w:val="00C506CE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</w:tblPr>
    <w:tcPr>
      <w:shd w:val="clear" w:color="auto" w:fill="FFFFFF" w:themeFill="background1"/>
    </w:tcPr>
    <w:tblStylePr w:type="firstRow">
      <w:rPr>
        <w:rFonts w:ascii="Calibri" w:hAnsi="Calibri"/>
        <w:b/>
        <w:i w:val="0"/>
        <w:sz w:val="28"/>
      </w:rPr>
      <w:tblPr/>
      <w:tcPr>
        <w:shd w:val="clear" w:color="auto" w:fill="000000" w:themeFill="text1"/>
      </w:tcPr>
    </w:tblStylePr>
    <w:tblStylePr w:type="lastRow">
      <w:pPr>
        <w:jc w:val="left"/>
      </w:pPr>
      <w:rPr>
        <w:rFonts w:ascii="Calibri" w:hAnsi="Calibri"/>
        <w:b/>
        <w:i/>
        <w:color w:val="FFFFFF" w:themeColor="background1"/>
      </w:rPr>
      <w:tblPr/>
      <w:tcPr>
        <w:shd w:val="clear" w:color="auto" w:fill="C0504D" w:themeFill="accent2"/>
      </w:tcPr>
    </w:tblStylePr>
    <w:tblStylePr w:type="firstCol">
      <w:rPr>
        <w:rFonts w:ascii="Calibri" w:hAnsi="Calibri"/>
        <w:b/>
        <w:i w:val="0"/>
      </w:rPr>
      <w:tblPr/>
      <w:tcPr>
        <w:shd w:val="clear" w:color="auto" w:fill="4F81BD" w:themeFill="accent1"/>
      </w:tcPr>
    </w:tblStylePr>
    <w:tblStylePr w:type="band1Vert">
      <w:rPr>
        <w:rFonts w:ascii="Calibri" w:hAnsi="Calibri"/>
        <w:b w:val="0"/>
        <w:i w:val="0"/>
        <w:color w:val="4F81BD" w:themeColor="accent1"/>
        <w:u w:val="none"/>
      </w:rPr>
    </w:tblStylePr>
    <w:tblStylePr w:type="band1Horz">
      <w:tblPr/>
      <w:tcPr>
        <w:shd w:val="clear" w:color="auto" w:fill="EEECE1" w:themeFill="background2"/>
      </w:tcPr>
    </w:tblStylePr>
  </w:style>
  <w:style w:type="character" w:styleId="Hyperlink">
    <w:name w:val="Hyperlink"/>
    <w:basedOn w:val="DefaultParagraphFont"/>
    <w:uiPriority w:val="99"/>
    <w:unhideWhenUsed/>
    <w:rsid w:val="00C50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arch@youngfound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Moore</cp:lastModifiedBy>
  <cp:revision>30</cp:revision>
  <dcterms:created xsi:type="dcterms:W3CDTF">2021-12-15T10:45:00Z</dcterms:created>
  <dcterms:modified xsi:type="dcterms:W3CDTF">2021-12-15T19:39:00Z</dcterms:modified>
</cp:coreProperties>
</file>