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4FAD6A" w14:textId="71B3C58E" w:rsidR="00800C1A" w:rsidRPr="00395BA3" w:rsidRDefault="008A27A4" w:rsidP="0073174E">
      <w:pPr>
        <w:pStyle w:val="Heading1"/>
        <w:rPr>
          <w:rFonts w:ascii="Roboto" w:hAnsi="Roboto"/>
          <w:b/>
          <w:bCs/>
          <w:color w:val="1F153B"/>
        </w:rPr>
      </w:pPr>
      <w:r w:rsidRPr="00395BA3">
        <w:rPr>
          <w:rFonts w:ascii="Roboto" w:hAnsi="Roboto"/>
          <w:b/>
          <w:bCs/>
          <w:color w:val="1F153B"/>
        </w:rPr>
        <w:t>The Young Foundation r</w:t>
      </w:r>
      <w:r w:rsidR="00800C1A" w:rsidRPr="00395BA3">
        <w:rPr>
          <w:rFonts w:ascii="Roboto" w:hAnsi="Roboto"/>
          <w:b/>
          <w:bCs/>
          <w:color w:val="1F153B"/>
        </w:rPr>
        <w:t xml:space="preserve">easonable </w:t>
      </w:r>
      <w:r w:rsidR="00354DE6" w:rsidRPr="00395BA3">
        <w:rPr>
          <w:rFonts w:ascii="Roboto" w:hAnsi="Roboto"/>
          <w:b/>
          <w:bCs/>
          <w:color w:val="1F153B"/>
        </w:rPr>
        <w:t>a</w:t>
      </w:r>
      <w:r w:rsidR="00800C1A" w:rsidRPr="00395BA3">
        <w:rPr>
          <w:rFonts w:ascii="Roboto" w:hAnsi="Roboto"/>
          <w:b/>
          <w:bCs/>
          <w:color w:val="1F153B"/>
        </w:rPr>
        <w:t xml:space="preserve">djustments </w:t>
      </w:r>
      <w:r w:rsidR="00354DE6" w:rsidRPr="00395BA3">
        <w:rPr>
          <w:rFonts w:ascii="Roboto" w:hAnsi="Roboto"/>
          <w:b/>
          <w:bCs/>
          <w:color w:val="1F153B"/>
        </w:rPr>
        <w:t>and</w:t>
      </w:r>
      <w:r w:rsidR="00800C1A" w:rsidRPr="00395BA3">
        <w:rPr>
          <w:rFonts w:ascii="Roboto" w:hAnsi="Roboto"/>
          <w:b/>
          <w:bCs/>
          <w:color w:val="1F153B"/>
        </w:rPr>
        <w:t xml:space="preserve"> </w:t>
      </w:r>
      <w:r w:rsidR="00354DE6" w:rsidRPr="00395BA3">
        <w:rPr>
          <w:rFonts w:ascii="Roboto" w:hAnsi="Roboto"/>
          <w:b/>
          <w:bCs/>
          <w:color w:val="1F153B"/>
        </w:rPr>
        <w:t>s</w:t>
      </w:r>
      <w:r w:rsidR="00800C1A" w:rsidRPr="00395BA3">
        <w:rPr>
          <w:rFonts w:ascii="Roboto" w:hAnsi="Roboto"/>
          <w:b/>
          <w:bCs/>
          <w:color w:val="1F153B"/>
        </w:rPr>
        <w:t xml:space="preserve">pecial </w:t>
      </w:r>
      <w:r w:rsidR="00354DE6" w:rsidRPr="00395BA3">
        <w:rPr>
          <w:rFonts w:ascii="Roboto" w:hAnsi="Roboto"/>
          <w:b/>
          <w:bCs/>
          <w:color w:val="1F153B"/>
        </w:rPr>
        <w:t>c</w:t>
      </w:r>
      <w:r w:rsidR="00800C1A" w:rsidRPr="00395BA3">
        <w:rPr>
          <w:rFonts w:ascii="Roboto" w:hAnsi="Roboto"/>
          <w:b/>
          <w:bCs/>
          <w:color w:val="1F153B"/>
        </w:rPr>
        <w:t xml:space="preserve">onsiderations </w:t>
      </w:r>
      <w:r w:rsidR="00354DE6" w:rsidRPr="00395BA3">
        <w:rPr>
          <w:rFonts w:ascii="Roboto" w:hAnsi="Roboto"/>
          <w:b/>
          <w:bCs/>
          <w:color w:val="1F153B"/>
        </w:rPr>
        <w:t>p</w:t>
      </w:r>
      <w:r w:rsidR="00800C1A" w:rsidRPr="00395BA3">
        <w:rPr>
          <w:rFonts w:ascii="Roboto" w:hAnsi="Roboto"/>
          <w:b/>
          <w:bCs/>
          <w:color w:val="1F153B"/>
        </w:rPr>
        <w:t xml:space="preserve">olicy </w:t>
      </w:r>
    </w:p>
    <w:p w14:paraId="7EAB9809" w14:textId="6003711C" w:rsidR="0091352C" w:rsidRPr="00FD0158" w:rsidRDefault="00800C1A" w:rsidP="0091352C">
      <w:pPr>
        <w:pStyle w:val="Heading2"/>
        <w:rPr>
          <w:rFonts w:ascii="Roboto" w:hAnsi="Roboto"/>
          <w:b/>
          <w:bCs/>
          <w:color w:val="0D153B"/>
        </w:rPr>
      </w:pPr>
      <w:r w:rsidRPr="00FD0158">
        <w:rPr>
          <w:rFonts w:ascii="Roboto" w:hAnsi="Roboto"/>
          <w:b/>
          <w:bCs/>
          <w:color w:val="0D153B"/>
        </w:rPr>
        <w:t>Introductio</w:t>
      </w:r>
      <w:r w:rsidR="0091352C" w:rsidRPr="00FD0158">
        <w:rPr>
          <w:rFonts w:ascii="Roboto" w:hAnsi="Roboto"/>
          <w:b/>
          <w:bCs/>
          <w:color w:val="0D153B"/>
        </w:rPr>
        <w:t>n</w:t>
      </w:r>
    </w:p>
    <w:p w14:paraId="46E767CF" w14:textId="77777777" w:rsidR="00800C1A" w:rsidRPr="00FD0158" w:rsidRDefault="00800C1A" w:rsidP="00800C1A">
      <w:pPr>
        <w:rPr>
          <w:rFonts w:ascii="Roboto" w:hAnsi="Roboto" w:cs="Calibri"/>
          <w:color w:val="0D153B"/>
          <w:sz w:val="23"/>
          <w:szCs w:val="23"/>
        </w:rPr>
      </w:pPr>
      <w:r w:rsidRPr="00FD0158">
        <w:rPr>
          <w:rFonts w:ascii="Roboto" w:hAnsi="Roboto" w:cs="Calibri"/>
          <w:color w:val="0D153B"/>
          <w:sz w:val="23"/>
          <w:szCs w:val="23"/>
        </w:rPr>
        <w:t>This policy is for students, tutors, mentors, and approved organisations who are working towards or delivering the qualifications offered by The Young Foundation.</w:t>
      </w:r>
    </w:p>
    <w:p w14:paraId="368645B1" w14:textId="77777777" w:rsidR="00800C1A" w:rsidRPr="00FD0158" w:rsidRDefault="00800C1A" w:rsidP="00800C1A">
      <w:pPr>
        <w:rPr>
          <w:rFonts w:ascii="Roboto" w:hAnsi="Roboto" w:cs="Calibri"/>
          <w:color w:val="0D153B"/>
          <w:sz w:val="23"/>
          <w:szCs w:val="23"/>
        </w:rPr>
      </w:pPr>
    </w:p>
    <w:p w14:paraId="219F3724" w14:textId="1F83B419" w:rsidR="0091352C" w:rsidRPr="00FD0158" w:rsidRDefault="00800C1A" w:rsidP="00800C1A">
      <w:pPr>
        <w:rPr>
          <w:rFonts w:ascii="Roboto" w:hAnsi="Roboto" w:cs="Calibri"/>
          <w:color w:val="0D153B"/>
          <w:sz w:val="23"/>
          <w:szCs w:val="23"/>
        </w:rPr>
      </w:pPr>
      <w:r w:rsidRPr="00FD0158">
        <w:rPr>
          <w:rFonts w:ascii="Roboto" w:hAnsi="Roboto" w:cs="Calibri"/>
          <w:color w:val="0D153B"/>
          <w:sz w:val="23"/>
          <w:szCs w:val="23"/>
        </w:rPr>
        <w:t>Its purpose is to ensure all reasonable adjustment and special consideration requests are dealt with in a consistent manner.</w:t>
      </w:r>
    </w:p>
    <w:p w14:paraId="618FFB75" w14:textId="69C722AD" w:rsidR="00800C1A" w:rsidRPr="00781993" w:rsidRDefault="00800C1A" w:rsidP="00F579E2">
      <w:pPr>
        <w:pStyle w:val="Heading2"/>
        <w:rPr>
          <w:rFonts w:ascii="Roboto" w:hAnsi="Roboto"/>
          <w:b/>
          <w:bCs/>
          <w:color w:val="0D153B"/>
        </w:rPr>
      </w:pPr>
      <w:r w:rsidRPr="00781993">
        <w:rPr>
          <w:rFonts w:ascii="Roboto" w:hAnsi="Roboto"/>
          <w:b/>
          <w:bCs/>
          <w:color w:val="0D153B"/>
        </w:rPr>
        <w:t>Definitions</w:t>
      </w:r>
    </w:p>
    <w:p w14:paraId="2796DA44" w14:textId="509C82F9" w:rsidR="00800C1A" w:rsidRPr="00FD0158" w:rsidRDefault="00800C1A" w:rsidP="00800C1A">
      <w:pPr>
        <w:rPr>
          <w:rFonts w:ascii="Roboto" w:hAnsi="Roboto"/>
          <w:color w:val="0D153B"/>
        </w:rPr>
      </w:pPr>
      <w:r w:rsidRPr="00FD0158">
        <w:rPr>
          <w:rFonts w:ascii="Roboto" w:hAnsi="Roboto"/>
          <w:color w:val="0D153B"/>
        </w:rPr>
        <w:t xml:space="preserve">We use the </w:t>
      </w:r>
      <w:hyperlink r:id="rId8" w:history="1">
        <w:r w:rsidRPr="00FD0158">
          <w:rPr>
            <w:rStyle w:val="Hyperlink"/>
            <w:rFonts w:ascii="Roboto" w:hAnsi="Roboto"/>
            <w:color w:val="0D153B"/>
          </w:rPr>
          <w:t>NCFE definitions</w:t>
        </w:r>
      </w:hyperlink>
      <w:r w:rsidRPr="00FD0158">
        <w:rPr>
          <w:rFonts w:ascii="Roboto" w:hAnsi="Roboto"/>
          <w:color w:val="0D153B"/>
        </w:rPr>
        <w:t xml:space="preserve"> of reasonable adjustments and special considerations. These are:</w:t>
      </w:r>
    </w:p>
    <w:p w14:paraId="614028C2" w14:textId="77777777" w:rsidR="00800C1A" w:rsidRPr="00FD0158" w:rsidRDefault="00800C1A" w:rsidP="00800C1A">
      <w:pPr>
        <w:pStyle w:val="Heading3"/>
        <w:rPr>
          <w:rFonts w:ascii="Roboto" w:hAnsi="Roboto"/>
          <w:color w:val="0D153B"/>
        </w:rPr>
      </w:pPr>
      <w:r w:rsidRPr="00FD0158">
        <w:rPr>
          <w:rFonts w:ascii="Roboto" w:hAnsi="Roboto"/>
          <w:color w:val="0D153B"/>
        </w:rPr>
        <w:t xml:space="preserve">Definition of reasonable adjustments </w:t>
      </w:r>
    </w:p>
    <w:p w14:paraId="7568944F" w14:textId="469DB5D1" w:rsidR="00800C1A" w:rsidRPr="00395BA3" w:rsidRDefault="00395BA3" w:rsidP="00800C1A">
      <w:pPr>
        <w:rPr>
          <w:rFonts w:ascii="Roboto" w:hAnsi="Roboto"/>
          <w:color w:val="0D153B"/>
        </w:rPr>
      </w:pPr>
      <w:r w:rsidRPr="00395BA3">
        <w:rPr>
          <w:rFonts w:ascii="Roboto" w:hAnsi="Roboto"/>
          <w:color w:val="0D153B"/>
        </w:rPr>
        <w:t>‘</w:t>
      </w:r>
      <w:r w:rsidR="00800C1A" w:rsidRPr="00395BA3">
        <w:rPr>
          <w:rFonts w:ascii="Roboto" w:hAnsi="Roboto"/>
          <w:color w:val="0D153B"/>
        </w:rPr>
        <w:t>A reasonable adjustment is any action that helps to reduce the effect of a disability or difficulty that places the learner at a substantial disadvantage in the assessment situation. Reasonable adjustments must not affect the integrity of what is being assessed.</w:t>
      </w:r>
      <w:r>
        <w:rPr>
          <w:rFonts w:ascii="Roboto" w:hAnsi="Roboto"/>
          <w:color w:val="0D153B"/>
        </w:rPr>
        <w:t>’</w:t>
      </w:r>
      <w:r w:rsidR="00800C1A" w:rsidRPr="00395BA3">
        <w:rPr>
          <w:rFonts w:ascii="Roboto" w:hAnsi="Roboto"/>
          <w:color w:val="0D153B"/>
        </w:rPr>
        <w:t xml:space="preserve"> </w:t>
      </w:r>
    </w:p>
    <w:p w14:paraId="480E81E0" w14:textId="77777777" w:rsidR="00800C1A" w:rsidRPr="00FD0158" w:rsidRDefault="00800C1A" w:rsidP="00800C1A">
      <w:pPr>
        <w:rPr>
          <w:rFonts w:ascii="Roboto" w:hAnsi="Roboto"/>
          <w:color w:val="0D153B"/>
        </w:rPr>
      </w:pPr>
    </w:p>
    <w:p w14:paraId="6F994CDB" w14:textId="77777777" w:rsidR="00800C1A" w:rsidRPr="00FD0158" w:rsidRDefault="00800C1A" w:rsidP="00800C1A">
      <w:pPr>
        <w:rPr>
          <w:rFonts w:ascii="Roboto" w:hAnsi="Roboto"/>
          <w:color w:val="0D153B"/>
        </w:rPr>
      </w:pPr>
      <w:r w:rsidRPr="00FD0158">
        <w:rPr>
          <w:rFonts w:ascii="Roboto" w:hAnsi="Roboto"/>
          <w:color w:val="0D153B"/>
        </w:rPr>
        <w:t>Reasonable adjustments might include:</w:t>
      </w:r>
    </w:p>
    <w:p w14:paraId="67266FA2" w14:textId="77777777" w:rsidR="00800C1A" w:rsidRPr="00FD0158" w:rsidRDefault="00800C1A" w:rsidP="00800C1A">
      <w:pPr>
        <w:pStyle w:val="ListParagraph"/>
        <w:numPr>
          <w:ilvl w:val="0"/>
          <w:numId w:val="1"/>
        </w:numPr>
        <w:rPr>
          <w:rFonts w:ascii="Roboto" w:hAnsi="Roboto"/>
          <w:color w:val="0D153B"/>
          <w:sz w:val="22"/>
          <w:szCs w:val="22"/>
          <w:lang w:eastAsia="en-GB"/>
        </w:rPr>
      </w:pPr>
      <w:r w:rsidRPr="00FD0158">
        <w:rPr>
          <w:rFonts w:ascii="Roboto" w:hAnsi="Roboto"/>
          <w:color w:val="0D153B"/>
          <w:sz w:val="22"/>
          <w:szCs w:val="22"/>
          <w:lang w:eastAsia="en-GB"/>
        </w:rPr>
        <w:t>changing usual assessment arrangements, for example allowing a student extra time to complete the assessment activity</w:t>
      </w:r>
    </w:p>
    <w:p w14:paraId="48958047" w14:textId="7D0FB4C8" w:rsidR="00800C1A" w:rsidRPr="00FD0158" w:rsidRDefault="00800C1A" w:rsidP="00800C1A">
      <w:pPr>
        <w:pStyle w:val="ListParagraph"/>
        <w:numPr>
          <w:ilvl w:val="0"/>
          <w:numId w:val="1"/>
        </w:numPr>
        <w:rPr>
          <w:rFonts w:ascii="Roboto" w:hAnsi="Roboto"/>
          <w:color w:val="0D153B"/>
          <w:sz w:val="22"/>
          <w:szCs w:val="22"/>
          <w:lang w:eastAsia="en-GB"/>
        </w:rPr>
      </w:pPr>
      <w:r w:rsidRPr="00FD0158">
        <w:rPr>
          <w:rFonts w:ascii="Roboto" w:hAnsi="Roboto"/>
          <w:color w:val="0D153B"/>
          <w:sz w:val="22"/>
          <w:szCs w:val="22"/>
          <w:lang w:eastAsia="en-GB"/>
        </w:rPr>
        <w:t xml:space="preserve">adapting assessment materials, such as providing materials in </w:t>
      </w:r>
      <w:r w:rsidR="00183F95">
        <w:rPr>
          <w:rFonts w:ascii="Roboto" w:hAnsi="Roboto"/>
          <w:color w:val="0D153B"/>
          <w:sz w:val="22"/>
          <w:szCs w:val="22"/>
          <w:lang w:eastAsia="en-GB"/>
        </w:rPr>
        <w:t>b</w:t>
      </w:r>
      <w:r w:rsidRPr="00FD0158">
        <w:rPr>
          <w:rFonts w:ascii="Roboto" w:hAnsi="Roboto"/>
          <w:color w:val="0D153B"/>
          <w:sz w:val="22"/>
          <w:szCs w:val="22"/>
          <w:lang w:eastAsia="en-GB"/>
        </w:rPr>
        <w:t>raille</w:t>
      </w:r>
    </w:p>
    <w:p w14:paraId="2A67093F" w14:textId="77777777" w:rsidR="00800C1A" w:rsidRPr="00FD0158" w:rsidRDefault="00800C1A" w:rsidP="00800C1A">
      <w:pPr>
        <w:pStyle w:val="ListParagraph"/>
        <w:numPr>
          <w:ilvl w:val="0"/>
          <w:numId w:val="1"/>
        </w:numPr>
        <w:rPr>
          <w:rFonts w:ascii="Roboto" w:hAnsi="Roboto"/>
          <w:color w:val="0D153B"/>
          <w:sz w:val="22"/>
          <w:szCs w:val="22"/>
          <w:lang w:eastAsia="en-GB"/>
        </w:rPr>
      </w:pPr>
      <w:r w:rsidRPr="00FD0158">
        <w:rPr>
          <w:rFonts w:ascii="Roboto" w:hAnsi="Roboto"/>
          <w:color w:val="0D153B"/>
          <w:sz w:val="22"/>
          <w:szCs w:val="22"/>
          <w:lang w:eastAsia="en-GB"/>
        </w:rPr>
        <w:t>providing assistance during assessment, such as a sign language interpreter, reader or scribe</w:t>
      </w:r>
    </w:p>
    <w:p w14:paraId="4DDA8D7A" w14:textId="77777777" w:rsidR="00800C1A" w:rsidRPr="00FD0158" w:rsidRDefault="00800C1A" w:rsidP="00800C1A">
      <w:pPr>
        <w:pStyle w:val="ListParagraph"/>
        <w:numPr>
          <w:ilvl w:val="0"/>
          <w:numId w:val="1"/>
        </w:numPr>
        <w:rPr>
          <w:rFonts w:ascii="Roboto" w:hAnsi="Roboto"/>
          <w:color w:val="0D153B"/>
          <w:sz w:val="22"/>
          <w:szCs w:val="22"/>
          <w:lang w:eastAsia="en-GB"/>
        </w:rPr>
      </w:pPr>
      <w:r w:rsidRPr="00FD0158">
        <w:rPr>
          <w:rFonts w:ascii="Roboto" w:hAnsi="Roboto"/>
          <w:color w:val="0D153B"/>
          <w:sz w:val="22"/>
          <w:szCs w:val="22"/>
          <w:lang w:eastAsia="en-GB"/>
        </w:rPr>
        <w:t>allowing the use of screen-reader technology for online assessments</w:t>
      </w:r>
    </w:p>
    <w:p w14:paraId="5472681F" w14:textId="77777777" w:rsidR="00800C1A" w:rsidRPr="00FD0158" w:rsidRDefault="00800C1A" w:rsidP="00800C1A">
      <w:pPr>
        <w:rPr>
          <w:rFonts w:ascii="Roboto" w:hAnsi="Roboto"/>
          <w:color w:val="0D153B"/>
        </w:rPr>
      </w:pPr>
    </w:p>
    <w:p w14:paraId="44114F31" w14:textId="77777777" w:rsidR="00800C1A" w:rsidRPr="00FD0158" w:rsidRDefault="00800C1A" w:rsidP="00800C1A">
      <w:pPr>
        <w:pStyle w:val="Heading3"/>
        <w:rPr>
          <w:rFonts w:ascii="Roboto" w:hAnsi="Roboto"/>
          <w:color w:val="0D153B"/>
        </w:rPr>
      </w:pPr>
      <w:r w:rsidRPr="00FD0158">
        <w:rPr>
          <w:rFonts w:ascii="Roboto" w:hAnsi="Roboto"/>
          <w:color w:val="0D153B"/>
        </w:rPr>
        <w:t xml:space="preserve">Definition of special considerations </w:t>
      </w:r>
    </w:p>
    <w:p w14:paraId="6717F426" w14:textId="33DED9AD" w:rsidR="00800C1A" w:rsidRPr="00395BA3" w:rsidRDefault="00395BA3" w:rsidP="00800C1A">
      <w:pPr>
        <w:rPr>
          <w:rFonts w:ascii="Roboto" w:hAnsi="Roboto"/>
          <w:color w:val="0D153B"/>
        </w:rPr>
      </w:pPr>
      <w:r w:rsidRPr="00395BA3">
        <w:rPr>
          <w:rFonts w:ascii="Roboto" w:hAnsi="Roboto"/>
          <w:color w:val="0D153B"/>
        </w:rPr>
        <w:t>‘</w:t>
      </w:r>
      <w:r w:rsidR="00800C1A" w:rsidRPr="00395BA3">
        <w:rPr>
          <w:rFonts w:ascii="Roboto" w:hAnsi="Roboto"/>
          <w:color w:val="0D153B"/>
        </w:rPr>
        <w:t>Special considerations can be applied after an assessment if there is a reason the learner may have been disadvantaged during the assessment. Reasons for special consideration could be temporary illness, injury or adverse circumstances at the time of the assessment.</w:t>
      </w:r>
      <w:r w:rsidRPr="00395BA3">
        <w:rPr>
          <w:rFonts w:ascii="Roboto" w:hAnsi="Roboto"/>
          <w:color w:val="0D153B"/>
        </w:rPr>
        <w:t>’</w:t>
      </w:r>
    </w:p>
    <w:p w14:paraId="1CFE3E7B" w14:textId="77777777" w:rsidR="00800C1A" w:rsidRPr="00FD0158" w:rsidRDefault="00800C1A" w:rsidP="00800C1A">
      <w:pPr>
        <w:rPr>
          <w:rFonts w:ascii="Roboto" w:hAnsi="Roboto"/>
          <w:color w:val="0D153B"/>
        </w:rPr>
      </w:pPr>
    </w:p>
    <w:p w14:paraId="5225ACC6" w14:textId="0CE3A9E0" w:rsidR="00800C1A" w:rsidRPr="00FD0158" w:rsidRDefault="00800C1A" w:rsidP="00F579E2">
      <w:pPr>
        <w:pStyle w:val="Heading2"/>
        <w:rPr>
          <w:rFonts w:eastAsiaTheme="majorEastAsia" w:cstheme="majorBidi"/>
          <w:szCs w:val="26"/>
        </w:rPr>
      </w:pPr>
      <w:r w:rsidRPr="00FD0158">
        <w:br w:type="page"/>
      </w:r>
      <w:r w:rsidRPr="00781993">
        <w:rPr>
          <w:rFonts w:ascii="Roboto" w:hAnsi="Roboto"/>
          <w:b/>
          <w:bCs/>
          <w:color w:val="0D153B"/>
        </w:rPr>
        <w:lastRenderedPageBreak/>
        <w:t>Requesting reasonable adjustments or special considerations</w:t>
      </w:r>
    </w:p>
    <w:p w14:paraId="0A6219F9" w14:textId="77777777" w:rsidR="00800C1A" w:rsidRPr="00FD0158" w:rsidRDefault="00800C1A" w:rsidP="00800C1A">
      <w:pPr>
        <w:pStyle w:val="Heading3"/>
        <w:rPr>
          <w:rFonts w:ascii="Roboto" w:hAnsi="Roboto"/>
          <w:color w:val="0D153B"/>
        </w:rPr>
      </w:pPr>
      <w:r w:rsidRPr="00FD0158">
        <w:rPr>
          <w:rFonts w:ascii="Roboto" w:hAnsi="Roboto"/>
          <w:color w:val="0D153B"/>
        </w:rPr>
        <w:t>Reasonable adjustments</w:t>
      </w:r>
    </w:p>
    <w:p w14:paraId="708B2A77" w14:textId="77777777" w:rsidR="00800C1A" w:rsidRPr="00FD0158" w:rsidRDefault="00800C1A" w:rsidP="00800C1A">
      <w:pPr>
        <w:rPr>
          <w:rFonts w:ascii="Roboto" w:hAnsi="Roboto"/>
          <w:color w:val="0D153B"/>
        </w:rPr>
      </w:pPr>
      <w:r w:rsidRPr="00FD0158">
        <w:rPr>
          <w:rFonts w:ascii="Roboto" w:hAnsi="Roboto"/>
          <w:color w:val="0D153B"/>
        </w:rPr>
        <w:t xml:space="preserve">Reasonable adjustments should be approved before the assessment activity takes place. </w:t>
      </w:r>
    </w:p>
    <w:p w14:paraId="25E8FC3C" w14:textId="77777777" w:rsidR="00800C1A" w:rsidRPr="00FD0158" w:rsidRDefault="00800C1A" w:rsidP="00800C1A">
      <w:pPr>
        <w:rPr>
          <w:rFonts w:ascii="Roboto" w:hAnsi="Roboto"/>
          <w:color w:val="0D153B"/>
        </w:rPr>
      </w:pPr>
    </w:p>
    <w:p w14:paraId="76215DF0" w14:textId="57EEC3F6" w:rsidR="00800C1A" w:rsidRPr="00FD0158" w:rsidRDefault="00800C1A" w:rsidP="00800C1A">
      <w:pPr>
        <w:rPr>
          <w:rFonts w:ascii="Roboto" w:hAnsi="Roboto"/>
          <w:color w:val="0D153B"/>
        </w:rPr>
      </w:pPr>
      <w:r w:rsidRPr="00FD0158">
        <w:rPr>
          <w:rFonts w:ascii="Roboto" w:hAnsi="Roboto"/>
          <w:color w:val="0D153B"/>
        </w:rPr>
        <w:t>We ask that a request for reasonable adjustments is submitted prior to the course starting. There is space to submit this information on the student registration form. All reasonable adjustments must be approved by The Young Foundation before being implemented.</w:t>
      </w:r>
    </w:p>
    <w:p w14:paraId="791DBFB6" w14:textId="77777777" w:rsidR="00800C1A" w:rsidRPr="00FD0158" w:rsidRDefault="00800C1A" w:rsidP="00800C1A">
      <w:pPr>
        <w:rPr>
          <w:rFonts w:ascii="Roboto" w:hAnsi="Roboto"/>
          <w:color w:val="0D153B"/>
        </w:rPr>
      </w:pPr>
    </w:p>
    <w:p w14:paraId="0550AF51" w14:textId="77777777" w:rsidR="00800C1A" w:rsidRPr="00FD0158" w:rsidRDefault="00800C1A" w:rsidP="00800C1A">
      <w:pPr>
        <w:rPr>
          <w:rFonts w:ascii="Roboto" w:hAnsi="Roboto"/>
          <w:color w:val="0D153B"/>
        </w:rPr>
      </w:pPr>
      <w:r w:rsidRPr="00FD0158">
        <w:rPr>
          <w:rFonts w:ascii="Roboto" w:hAnsi="Roboto"/>
          <w:color w:val="0D153B"/>
        </w:rPr>
        <w:t>If a need for reasonable adjustments arises after the start of the course, the request should be submitted by email.</w:t>
      </w:r>
    </w:p>
    <w:p w14:paraId="03627632" w14:textId="77777777" w:rsidR="00800C1A" w:rsidRPr="00FD0158" w:rsidRDefault="00800C1A" w:rsidP="00800C1A">
      <w:pPr>
        <w:rPr>
          <w:rFonts w:ascii="Roboto" w:hAnsi="Roboto"/>
          <w:color w:val="0D153B"/>
        </w:rPr>
      </w:pPr>
    </w:p>
    <w:p w14:paraId="735CFF61" w14:textId="77777777" w:rsidR="00800C1A" w:rsidRPr="00FD0158" w:rsidRDefault="00800C1A" w:rsidP="00800C1A">
      <w:pPr>
        <w:rPr>
          <w:rFonts w:ascii="Roboto" w:hAnsi="Roboto"/>
          <w:color w:val="0D153B"/>
        </w:rPr>
      </w:pPr>
      <w:r w:rsidRPr="00FD0158">
        <w:rPr>
          <w:rFonts w:ascii="Roboto" w:hAnsi="Roboto"/>
          <w:color w:val="0D153B"/>
        </w:rPr>
        <w:t xml:space="preserve">The use of a reasonable adjustment will not be taken into consideration during the assessment of a student’s work. Other factors, such as the need to maintain competence standards and health and safety, will be taken into consideration. </w:t>
      </w:r>
    </w:p>
    <w:p w14:paraId="51BE1450" w14:textId="77777777" w:rsidR="00800C1A" w:rsidRPr="00FD0158" w:rsidRDefault="00800C1A" w:rsidP="00800C1A">
      <w:pPr>
        <w:rPr>
          <w:rFonts w:ascii="Roboto" w:hAnsi="Roboto"/>
          <w:color w:val="0D153B"/>
        </w:rPr>
      </w:pPr>
    </w:p>
    <w:p w14:paraId="041E2672" w14:textId="77777777" w:rsidR="00800C1A" w:rsidRPr="00FD0158" w:rsidRDefault="00800C1A" w:rsidP="00800C1A">
      <w:pPr>
        <w:pStyle w:val="Heading3"/>
        <w:rPr>
          <w:rFonts w:ascii="Roboto" w:hAnsi="Roboto"/>
          <w:color w:val="0D153B"/>
        </w:rPr>
      </w:pPr>
      <w:r w:rsidRPr="00FD0158">
        <w:rPr>
          <w:rFonts w:ascii="Roboto" w:hAnsi="Roboto"/>
          <w:color w:val="0D153B"/>
        </w:rPr>
        <w:t>Special considerations</w:t>
      </w:r>
    </w:p>
    <w:p w14:paraId="13B58DAD" w14:textId="77777777" w:rsidR="00800C1A" w:rsidRPr="00FD0158" w:rsidRDefault="00800C1A" w:rsidP="00800C1A">
      <w:pPr>
        <w:rPr>
          <w:rFonts w:ascii="Roboto" w:hAnsi="Roboto"/>
          <w:color w:val="0D153B"/>
        </w:rPr>
      </w:pPr>
      <w:r w:rsidRPr="00FD0158">
        <w:rPr>
          <w:rFonts w:ascii="Roboto" w:hAnsi="Roboto"/>
          <w:color w:val="0D153B"/>
        </w:rPr>
        <w:t xml:space="preserve">Students cannot enter a plea for special considerations for assessment solely on the grounds of disability or learning difficulty. Students must declare their needs prior to the assessment period and all necessary reasonable adjustments arrangements must have been implemented before the time of their assessment. </w:t>
      </w:r>
    </w:p>
    <w:p w14:paraId="3708EA68" w14:textId="77777777" w:rsidR="00800C1A" w:rsidRPr="00FD0158" w:rsidRDefault="00800C1A" w:rsidP="00800C1A">
      <w:pPr>
        <w:rPr>
          <w:rFonts w:ascii="Roboto" w:hAnsi="Roboto"/>
          <w:color w:val="0D153B"/>
        </w:rPr>
      </w:pPr>
    </w:p>
    <w:p w14:paraId="6C157956" w14:textId="77777777" w:rsidR="00800C1A" w:rsidRPr="00FD0158" w:rsidRDefault="00800C1A" w:rsidP="00800C1A">
      <w:pPr>
        <w:rPr>
          <w:rFonts w:ascii="Roboto" w:hAnsi="Roboto"/>
          <w:color w:val="0D153B"/>
        </w:rPr>
      </w:pPr>
      <w:r w:rsidRPr="00FD0158">
        <w:rPr>
          <w:rFonts w:ascii="Roboto" w:hAnsi="Roboto"/>
          <w:color w:val="0D153B"/>
        </w:rPr>
        <w:t>All requests for special consideration should be made by the tutor or approved organisation within five working days of the conclusion of the assessment. The request should:</w:t>
      </w:r>
    </w:p>
    <w:p w14:paraId="0EDCC51E" w14:textId="05B71B08" w:rsidR="00800C1A" w:rsidRPr="00FD0158" w:rsidRDefault="002A1732" w:rsidP="00800C1A">
      <w:pPr>
        <w:pStyle w:val="ListParagraph"/>
        <w:numPr>
          <w:ilvl w:val="0"/>
          <w:numId w:val="2"/>
        </w:numPr>
        <w:rPr>
          <w:rFonts w:ascii="Roboto" w:hAnsi="Roboto"/>
          <w:color w:val="0D153B"/>
          <w:sz w:val="22"/>
          <w:szCs w:val="22"/>
        </w:rPr>
      </w:pPr>
      <w:r>
        <w:rPr>
          <w:rFonts w:ascii="Roboto" w:hAnsi="Roboto"/>
          <w:color w:val="0D153B"/>
          <w:sz w:val="22"/>
          <w:szCs w:val="22"/>
        </w:rPr>
        <w:t>c</w:t>
      </w:r>
      <w:r w:rsidR="00800C1A" w:rsidRPr="00FD0158">
        <w:rPr>
          <w:rFonts w:ascii="Roboto" w:hAnsi="Roboto"/>
          <w:color w:val="0D153B"/>
          <w:sz w:val="22"/>
          <w:szCs w:val="22"/>
        </w:rPr>
        <w:t>learly set out the exact nature of the adverse condition(s) that you consider make the student eligible for a special consideration</w:t>
      </w:r>
    </w:p>
    <w:p w14:paraId="4682C087" w14:textId="7DCE9F73" w:rsidR="00800C1A" w:rsidRPr="00FD0158" w:rsidRDefault="002A1732" w:rsidP="00800C1A">
      <w:pPr>
        <w:pStyle w:val="ListParagraph"/>
        <w:numPr>
          <w:ilvl w:val="0"/>
          <w:numId w:val="2"/>
        </w:numPr>
        <w:rPr>
          <w:rFonts w:ascii="Roboto" w:hAnsi="Roboto"/>
          <w:color w:val="0D153B"/>
          <w:sz w:val="22"/>
          <w:szCs w:val="22"/>
        </w:rPr>
      </w:pPr>
      <w:r>
        <w:rPr>
          <w:rFonts w:ascii="Roboto" w:hAnsi="Roboto"/>
          <w:color w:val="0D153B"/>
          <w:sz w:val="22"/>
          <w:szCs w:val="22"/>
        </w:rPr>
        <w:t>i</w:t>
      </w:r>
      <w:r w:rsidR="00800C1A" w:rsidRPr="00FD0158">
        <w:rPr>
          <w:rFonts w:ascii="Roboto" w:hAnsi="Roboto"/>
          <w:color w:val="0D153B"/>
          <w:sz w:val="22"/>
          <w:szCs w:val="22"/>
        </w:rPr>
        <w:t xml:space="preserve">nclude copies of any relevant evidence to support the request </w:t>
      </w:r>
    </w:p>
    <w:p w14:paraId="2120D077" w14:textId="77777777" w:rsidR="00800C1A" w:rsidRPr="00FD0158" w:rsidRDefault="00800C1A" w:rsidP="00800C1A">
      <w:pPr>
        <w:pStyle w:val="ListParagraph"/>
        <w:rPr>
          <w:rFonts w:ascii="Roboto" w:hAnsi="Roboto"/>
          <w:color w:val="0D153B"/>
        </w:rPr>
      </w:pPr>
    </w:p>
    <w:p w14:paraId="02EA1B68" w14:textId="77777777" w:rsidR="00800C1A" w:rsidRPr="00FD0158" w:rsidRDefault="00800C1A" w:rsidP="00800C1A">
      <w:pPr>
        <w:rPr>
          <w:rFonts w:ascii="Roboto" w:hAnsi="Roboto"/>
          <w:color w:val="0D153B"/>
        </w:rPr>
      </w:pPr>
      <w:r w:rsidRPr="00FD0158">
        <w:rPr>
          <w:rFonts w:ascii="Roboto" w:hAnsi="Roboto"/>
          <w:color w:val="0D153B"/>
        </w:rPr>
        <w:t xml:space="preserve">All requests for special considerations will be reviewed on an individual basis. If the request for a special consideration is successful, the student’s performance will be reviewed based on the evidence that was submitted. </w:t>
      </w:r>
    </w:p>
    <w:p w14:paraId="6A2A24C5" w14:textId="77777777" w:rsidR="00800C1A" w:rsidRPr="00FD0158" w:rsidRDefault="00800C1A" w:rsidP="00800C1A">
      <w:pPr>
        <w:rPr>
          <w:rFonts w:ascii="Roboto" w:hAnsi="Roboto"/>
          <w:color w:val="0D153B"/>
        </w:rPr>
      </w:pPr>
    </w:p>
    <w:p w14:paraId="6DD1780D" w14:textId="77777777" w:rsidR="00800C1A" w:rsidRPr="00FD0158" w:rsidRDefault="00800C1A" w:rsidP="00800C1A">
      <w:pPr>
        <w:rPr>
          <w:rFonts w:ascii="Roboto" w:hAnsi="Roboto"/>
          <w:color w:val="0D153B"/>
        </w:rPr>
      </w:pPr>
      <w:r w:rsidRPr="00FD0158">
        <w:rPr>
          <w:rFonts w:ascii="Roboto" w:hAnsi="Roboto"/>
          <w:color w:val="0D153B"/>
        </w:rPr>
        <w:t>Special consideration should not give the student an unfair advantage. Special consideration may result in a small post-assessment adjustment to the mark of the student. The size of the adjustment will depend on the circumstances during the assessment and will reflect the difficulty faced by the student. A successful request of a special consideration will not necessarily change a student’s result.</w:t>
      </w:r>
    </w:p>
    <w:p w14:paraId="17F77D71" w14:textId="77777777" w:rsidR="00800C1A" w:rsidRPr="00FD0158" w:rsidRDefault="00800C1A" w:rsidP="00800C1A">
      <w:pPr>
        <w:rPr>
          <w:rFonts w:ascii="Roboto" w:hAnsi="Roboto"/>
          <w:color w:val="0D153B"/>
        </w:rPr>
      </w:pPr>
    </w:p>
    <w:p w14:paraId="0C940F20" w14:textId="15FFC6A6" w:rsidR="00800C1A" w:rsidRPr="00FD0158" w:rsidRDefault="00800C1A" w:rsidP="00800C1A">
      <w:pPr>
        <w:rPr>
          <w:rFonts w:ascii="Roboto" w:hAnsi="Roboto"/>
          <w:color w:val="0D153B"/>
        </w:rPr>
      </w:pPr>
      <w:r w:rsidRPr="00FD0158">
        <w:rPr>
          <w:rFonts w:ascii="Roboto" w:hAnsi="Roboto"/>
          <w:color w:val="0D153B"/>
        </w:rPr>
        <w:lastRenderedPageBreak/>
        <w:t>Where an assessment requires a competence, criterion or standard to be met fully, it may not be possible to apply special consideration. At our discretion, we may instead off</w:t>
      </w:r>
      <w:r w:rsidR="003C6D80">
        <w:rPr>
          <w:rFonts w:ascii="Roboto" w:hAnsi="Roboto"/>
          <w:color w:val="0D153B"/>
        </w:rPr>
        <w:t>er</w:t>
      </w:r>
      <w:r w:rsidRPr="00FD0158">
        <w:rPr>
          <w:rFonts w:ascii="Roboto" w:hAnsi="Roboto"/>
          <w:color w:val="0D153B"/>
        </w:rPr>
        <w:t xml:space="preserve"> the student an opportunity to retake the assessment at a later date or to extend the registration period so that the student has more time to complete the assessment activity. </w:t>
      </w:r>
    </w:p>
    <w:p w14:paraId="29E09168" w14:textId="77777777" w:rsidR="00786CE6" w:rsidRPr="00E123DB" w:rsidRDefault="00786CE6">
      <w:pPr>
        <w:rPr>
          <w:rFonts w:ascii="Roboto" w:eastAsia="Roboto" w:hAnsi="Roboto" w:cs="Roboto"/>
          <w:color w:val="1E2A5C"/>
          <w:sz w:val="20"/>
          <w:szCs w:val="20"/>
        </w:rPr>
      </w:pPr>
    </w:p>
    <w:p w14:paraId="27370326" w14:textId="77777777" w:rsidR="00786CE6" w:rsidRPr="00E123DB" w:rsidRDefault="00786CE6">
      <w:pPr>
        <w:rPr>
          <w:rFonts w:ascii="Roboto" w:eastAsia="Roboto" w:hAnsi="Roboto" w:cs="Roboto"/>
          <w:color w:val="1E2A5C"/>
          <w:sz w:val="20"/>
          <w:szCs w:val="20"/>
        </w:rPr>
      </w:pPr>
    </w:p>
    <w:sectPr w:rsidR="00786CE6" w:rsidRPr="00E123DB">
      <w:headerReference w:type="default" r:id="rId9"/>
      <w:footerReference w:type="default" r:id="rId10"/>
      <w:headerReference w:type="first" r:id="rId11"/>
      <w:footerReference w:type="first" r:id="rId12"/>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6601" w14:textId="77777777" w:rsidR="008E1DFD" w:rsidRDefault="008E1DFD">
      <w:pPr>
        <w:spacing w:line="240" w:lineRule="auto"/>
      </w:pPr>
      <w:r>
        <w:separator/>
      </w:r>
    </w:p>
  </w:endnote>
  <w:endnote w:type="continuationSeparator" w:id="0">
    <w:p w14:paraId="7A5D69DB" w14:textId="77777777" w:rsidR="008E1DFD" w:rsidRDefault="008E1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9878" w14:textId="77777777" w:rsidR="00786CE6" w:rsidRDefault="00786CE6">
    <w:pPr>
      <w:rPr>
        <w:rFonts w:ascii="Roboto" w:eastAsia="Roboto" w:hAnsi="Roboto" w:cs="Roboto"/>
        <w:color w:val="1E2A5C"/>
        <w:sz w:val="16"/>
        <w:szCs w:val="16"/>
      </w:rPr>
    </w:pPr>
  </w:p>
  <w:tbl>
    <w:tblPr>
      <w:tblStyle w:val="a0"/>
      <w:tblW w:w="10466" w:type="dxa"/>
      <w:tblLayout w:type="fixed"/>
      <w:tblLook w:val="0600" w:firstRow="0" w:lastRow="0" w:firstColumn="0" w:lastColumn="0" w:noHBand="1" w:noVBand="1"/>
    </w:tblPr>
    <w:tblGrid>
      <w:gridCol w:w="5233"/>
      <w:gridCol w:w="5233"/>
    </w:tblGrid>
    <w:tr w:rsidR="00786CE6" w14:paraId="7C6217F7" w14:textId="77777777">
      <w:tc>
        <w:tcPr>
          <w:tcW w:w="5233" w:type="dxa"/>
          <w:shd w:val="clear" w:color="auto" w:fill="auto"/>
          <w:tcMar>
            <w:top w:w="100" w:type="dxa"/>
            <w:left w:w="100" w:type="dxa"/>
            <w:bottom w:w="100" w:type="dxa"/>
            <w:right w:w="100" w:type="dxa"/>
          </w:tcMar>
          <w:vAlign w:val="bottom"/>
        </w:tcPr>
        <w:p w14:paraId="4A46FADA" w14:textId="77777777" w:rsidR="00786CE6" w:rsidRDefault="008E1DFD">
          <w:pPr>
            <w:widowControl w:val="0"/>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20124D12" w14:textId="77777777" w:rsidR="00786CE6" w:rsidRDefault="008E1DFD">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79237723" w14:textId="77777777" w:rsidR="00786CE6" w:rsidRDefault="008E1DFD">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609E847B" w14:textId="77777777" w:rsidR="00786CE6" w:rsidRDefault="008E1DFD">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The Young Foundation is a UKRI-accredited Independent Research Organisation and a Registered Charity in England and Wales. Our charity number is 274345.</w:t>
          </w:r>
        </w:p>
        <w:p w14:paraId="3C4D4BCF" w14:textId="77777777" w:rsidR="00786CE6" w:rsidRDefault="008E1DFD">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5A3E61C7" w14:textId="77777777" w:rsidR="00786CE6" w:rsidRDefault="00786C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ADDB" w14:textId="77777777" w:rsidR="00786CE6" w:rsidRDefault="00786CE6">
    <w:pPr>
      <w:rPr>
        <w:rFonts w:ascii="Roboto" w:eastAsia="Roboto" w:hAnsi="Roboto" w:cs="Roboto"/>
        <w:color w:val="1E2A5C"/>
        <w:sz w:val="16"/>
        <w:szCs w:val="16"/>
      </w:rPr>
    </w:pPr>
  </w:p>
  <w:tbl>
    <w:tblPr>
      <w:tblStyle w:val="a"/>
      <w:tblW w:w="10466" w:type="dxa"/>
      <w:tblLayout w:type="fixed"/>
      <w:tblLook w:val="0600" w:firstRow="0" w:lastRow="0" w:firstColumn="0" w:lastColumn="0" w:noHBand="1" w:noVBand="1"/>
    </w:tblPr>
    <w:tblGrid>
      <w:gridCol w:w="5233"/>
      <w:gridCol w:w="5233"/>
    </w:tblGrid>
    <w:tr w:rsidR="00786CE6" w14:paraId="1ADEF8CC" w14:textId="77777777">
      <w:tc>
        <w:tcPr>
          <w:tcW w:w="5233" w:type="dxa"/>
          <w:shd w:val="clear" w:color="auto" w:fill="auto"/>
          <w:tcMar>
            <w:top w:w="100" w:type="dxa"/>
            <w:left w:w="100" w:type="dxa"/>
            <w:bottom w:w="100" w:type="dxa"/>
            <w:right w:w="100" w:type="dxa"/>
          </w:tcMar>
          <w:vAlign w:val="bottom"/>
        </w:tcPr>
        <w:p w14:paraId="437A727D" w14:textId="77777777" w:rsidR="00786CE6" w:rsidRDefault="008E1DFD">
          <w:pPr>
            <w:widowControl w:val="0"/>
            <w:pBdr>
              <w:top w:val="nil"/>
              <w:left w:val="nil"/>
              <w:bottom w:val="nil"/>
              <w:right w:val="nil"/>
              <w:between w:val="nil"/>
            </w:pBdr>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4B870DA3" w14:textId="77777777" w:rsidR="00786CE6" w:rsidRDefault="008E1DFD">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1722F318" w14:textId="77777777" w:rsidR="00786CE6" w:rsidRDefault="008E1DFD">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32D4A122" w14:textId="77777777" w:rsidR="00786CE6" w:rsidRDefault="008E1DFD">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The Young Foundation is a UKRI-accredited Independent Research Organisation and a Registered Charity in England and Wales. Our charity number is 274345.</w:t>
          </w:r>
        </w:p>
        <w:p w14:paraId="22365EC9" w14:textId="77777777" w:rsidR="00786CE6" w:rsidRDefault="008E1DFD">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76FB714A" w14:textId="77777777" w:rsidR="00786CE6" w:rsidRDefault="00786CE6">
    <w:pPr>
      <w:rPr>
        <w:rFonts w:ascii="Roboto" w:eastAsia="Roboto" w:hAnsi="Roboto" w:cs="Roboto"/>
        <w:color w:val="1E2A5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F73B" w14:textId="77777777" w:rsidR="008E1DFD" w:rsidRDefault="008E1DFD">
      <w:pPr>
        <w:spacing w:line="240" w:lineRule="auto"/>
      </w:pPr>
      <w:r>
        <w:separator/>
      </w:r>
    </w:p>
  </w:footnote>
  <w:footnote w:type="continuationSeparator" w:id="0">
    <w:p w14:paraId="13ACB46F" w14:textId="77777777" w:rsidR="008E1DFD" w:rsidRDefault="008E1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24AD" w14:textId="3F1FE741" w:rsidR="00786CE6" w:rsidRDefault="00BE4583">
    <w:r>
      <w:rPr>
        <w:noProof/>
      </w:rPr>
      <w:drawing>
        <wp:anchor distT="114300" distB="114300" distL="114300" distR="114300" simplePos="0" relativeHeight="251658240" behindDoc="1" locked="0" layoutInCell="1" hidden="0" allowOverlap="1" wp14:anchorId="183E84BB" wp14:editId="45F781C7">
          <wp:simplePos x="0" y="0"/>
          <wp:positionH relativeFrom="page">
            <wp:align>left</wp:align>
          </wp:positionH>
          <wp:positionV relativeFrom="page">
            <wp:posOffset>3810</wp:posOffset>
          </wp:positionV>
          <wp:extent cx="7573191" cy="3681413"/>
          <wp:effectExtent l="0" t="0" r="889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p w14:paraId="599EBF1D" w14:textId="7A7C30CE" w:rsidR="00786CE6" w:rsidRDefault="00786CE6"/>
  <w:p w14:paraId="3A169334" w14:textId="1CF12C85" w:rsidR="00786CE6" w:rsidRDefault="00786CE6"/>
  <w:p w14:paraId="0F19F94D" w14:textId="77777777" w:rsidR="00786CE6" w:rsidRDefault="00786CE6"/>
  <w:p w14:paraId="727DB66B" w14:textId="77777777" w:rsidR="00786CE6" w:rsidRDefault="00786CE6"/>
  <w:p w14:paraId="5BCC1098" w14:textId="77777777" w:rsidR="00786CE6" w:rsidRDefault="00786CE6"/>
  <w:p w14:paraId="3EA57C73" w14:textId="77777777" w:rsidR="00786CE6" w:rsidRDefault="00786CE6"/>
  <w:p w14:paraId="6DA40A76" w14:textId="77777777" w:rsidR="00786CE6" w:rsidRDefault="00786CE6"/>
  <w:p w14:paraId="49324408" w14:textId="77777777" w:rsidR="00786CE6" w:rsidRDefault="00786CE6"/>
  <w:p w14:paraId="2868C7CA" w14:textId="77777777" w:rsidR="00786CE6" w:rsidRDefault="00786CE6"/>
  <w:p w14:paraId="56C564E7" w14:textId="77777777" w:rsidR="00786CE6" w:rsidRDefault="00786CE6"/>
  <w:p w14:paraId="6DBCC78F" w14:textId="5D5C75CB" w:rsidR="00786CE6" w:rsidRDefault="00786C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213F" w14:textId="77777777" w:rsidR="00786CE6" w:rsidRDefault="008E1DFD">
    <w:pPr>
      <w:ind w:left="-720"/>
    </w:pPr>
    <w:r>
      <w:rPr>
        <w:noProof/>
      </w:rPr>
      <w:drawing>
        <wp:anchor distT="114300" distB="114300" distL="114300" distR="114300" simplePos="0" relativeHeight="251659264" behindDoc="1" locked="0" layoutInCell="1" hidden="0" allowOverlap="1" wp14:anchorId="331ACD78" wp14:editId="26494BE3">
          <wp:simplePos x="0" y="0"/>
          <wp:positionH relativeFrom="page">
            <wp:posOffset>8100</wp:posOffset>
          </wp:positionH>
          <wp:positionV relativeFrom="page">
            <wp:posOffset>-33337</wp:posOffset>
          </wp:positionV>
          <wp:extent cx="7573191" cy="36814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p w14:paraId="32271FDD" w14:textId="77777777" w:rsidR="00786CE6" w:rsidRDefault="00786CE6">
    <w:pPr>
      <w:ind w:left="-720"/>
    </w:pPr>
  </w:p>
  <w:p w14:paraId="21FE410C" w14:textId="77777777" w:rsidR="00786CE6" w:rsidRDefault="00786CE6">
    <w:pPr>
      <w:ind w:left="-720"/>
    </w:pPr>
  </w:p>
  <w:p w14:paraId="32122215" w14:textId="77777777" w:rsidR="00786CE6" w:rsidRDefault="00786CE6">
    <w:pPr>
      <w:ind w:left="-720"/>
    </w:pPr>
  </w:p>
  <w:p w14:paraId="7CB2465C" w14:textId="77777777" w:rsidR="00786CE6" w:rsidRDefault="00786CE6">
    <w:pPr>
      <w:ind w:left="-720"/>
    </w:pPr>
  </w:p>
  <w:p w14:paraId="5E42233E" w14:textId="77777777" w:rsidR="00786CE6" w:rsidRDefault="00786CE6">
    <w:pPr>
      <w:ind w:left="-720"/>
    </w:pPr>
  </w:p>
  <w:p w14:paraId="2A4EEA0D" w14:textId="77777777" w:rsidR="00786CE6" w:rsidRDefault="00786CE6">
    <w:pPr>
      <w:ind w:left="-720"/>
    </w:pPr>
  </w:p>
  <w:p w14:paraId="3075B71C" w14:textId="77777777" w:rsidR="00786CE6" w:rsidRDefault="00786CE6">
    <w:pPr>
      <w:ind w:left="-720"/>
    </w:pPr>
  </w:p>
  <w:p w14:paraId="2EFE8477" w14:textId="77777777" w:rsidR="00786CE6" w:rsidRDefault="00786CE6">
    <w:pPr>
      <w:ind w:left="-720"/>
    </w:pPr>
  </w:p>
  <w:p w14:paraId="752C9428" w14:textId="77777777" w:rsidR="00786CE6" w:rsidRDefault="00786CE6">
    <w:pPr>
      <w:ind w:left="-720"/>
    </w:pPr>
  </w:p>
  <w:p w14:paraId="4A3CB4F2" w14:textId="77777777" w:rsidR="00786CE6" w:rsidRDefault="00786CE6">
    <w:pPr>
      <w:ind w:left="-720"/>
    </w:pPr>
  </w:p>
  <w:p w14:paraId="15F68FD8" w14:textId="77777777" w:rsidR="00786CE6" w:rsidRDefault="00786CE6">
    <w:p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4689D"/>
    <w:multiLevelType w:val="hybridMultilevel"/>
    <w:tmpl w:val="5AAC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E1E73"/>
    <w:multiLevelType w:val="hybridMultilevel"/>
    <w:tmpl w:val="900E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E6"/>
    <w:rsid w:val="00022586"/>
    <w:rsid w:val="00183F95"/>
    <w:rsid w:val="002A1732"/>
    <w:rsid w:val="00354DE6"/>
    <w:rsid w:val="00395BA3"/>
    <w:rsid w:val="003C6D80"/>
    <w:rsid w:val="00512870"/>
    <w:rsid w:val="0073174E"/>
    <w:rsid w:val="00781993"/>
    <w:rsid w:val="00786CE6"/>
    <w:rsid w:val="00800C1A"/>
    <w:rsid w:val="00821389"/>
    <w:rsid w:val="008A27A4"/>
    <w:rsid w:val="008E1DFD"/>
    <w:rsid w:val="0091352C"/>
    <w:rsid w:val="00AF2729"/>
    <w:rsid w:val="00BB6EBB"/>
    <w:rsid w:val="00BE4583"/>
    <w:rsid w:val="00E123DB"/>
    <w:rsid w:val="00F579E2"/>
    <w:rsid w:val="00FA59AC"/>
    <w:rsid w:val="00FD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204BF"/>
  <w15:docId w15:val="{A8A6A931-73FE-49C8-82B9-698297D9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1389"/>
    <w:pPr>
      <w:tabs>
        <w:tab w:val="center" w:pos="4513"/>
        <w:tab w:val="right" w:pos="9026"/>
      </w:tabs>
      <w:spacing w:line="240" w:lineRule="auto"/>
    </w:pPr>
  </w:style>
  <w:style w:type="character" w:customStyle="1" w:styleId="HeaderChar">
    <w:name w:val="Header Char"/>
    <w:basedOn w:val="DefaultParagraphFont"/>
    <w:link w:val="Header"/>
    <w:uiPriority w:val="99"/>
    <w:rsid w:val="00821389"/>
  </w:style>
  <w:style w:type="paragraph" w:styleId="Footer">
    <w:name w:val="footer"/>
    <w:basedOn w:val="Normal"/>
    <w:link w:val="FooterChar"/>
    <w:uiPriority w:val="99"/>
    <w:unhideWhenUsed/>
    <w:rsid w:val="00821389"/>
    <w:pPr>
      <w:tabs>
        <w:tab w:val="center" w:pos="4513"/>
        <w:tab w:val="right" w:pos="9026"/>
      </w:tabs>
      <w:spacing w:line="240" w:lineRule="auto"/>
    </w:pPr>
  </w:style>
  <w:style w:type="character" w:customStyle="1" w:styleId="FooterChar">
    <w:name w:val="Footer Char"/>
    <w:basedOn w:val="DefaultParagraphFont"/>
    <w:link w:val="Footer"/>
    <w:uiPriority w:val="99"/>
    <w:rsid w:val="00821389"/>
  </w:style>
  <w:style w:type="paragraph" w:styleId="ListParagraph">
    <w:name w:val="List Paragraph"/>
    <w:basedOn w:val="Normal"/>
    <w:uiPriority w:val="34"/>
    <w:qFormat/>
    <w:rsid w:val="00800C1A"/>
    <w:pPr>
      <w:spacing w:line="240" w:lineRule="auto"/>
      <w:ind w:left="720"/>
      <w:contextualSpacing/>
    </w:pPr>
    <w:rPr>
      <w:rFonts w:asciiTheme="minorHAnsi" w:eastAsiaTheme="minorHAnsi" w:hAnsiTheme="minorHAnsi" w:cstheme="minorBidi"/>
      <w:color w:val="4F81BD" w:themeColor="accent1"/>
      <w:sz w:val="24"/>
      <w:szCs w:val="24"/>
      <w:lang w:val="en-GB" w:eastAsia="en-US"/>
    </w:rPr>
  </w:style>
  <w:style w:type="character" w:styleId="Hyperlink">
    <w:name w:val="Hyperlink"/>
    <w:basedOn w:val="DefaultParagraphFont"/>
    <w:uiPriority w:val="99"/>
    <w:unhideWhenUsed/>
    <w:rsid w:val="00800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ualhub.co.uk/media/1083/reasonable-adjustments-and-special-considerations-policy-v13-3105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357B-EA51-481A-802A-11F20779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Moore</cp:lastModifiedBy>
  <cp:revision>20</cp:revision>
  <dcterms:created xsi:type="dcterms:W3CDTF">2021-12-15T10:05:00Z</dcterms:created>
  <dcterms:modified xsi:type="dcterms:W3CDTF">2021-12-15T19:46:00Z</dcterms:modified>
</cp:coreProperties>
</file>